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WAIVERS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501—16.1</w:t>
      </w:r>
      <w:r>
        <w:rPr>
          <w:rFonts w:ascii="Times New Roman" w:hAnsi="Times New Roman"/>
          <w:b/>
          <w:i w:val="false"/>
          <w:color w:val="000000"/>
          <w:sz w:val="22"/>
        </w:rPr>
        <w:t xml:space="preserve">(17A,80B)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means the Iowa law enforcement academy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action by the Iowa law enforcement academy council which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501—16.2</w:t>
      </w:r>
      <w:r>
        <w:rPr>
          <w:rFonts w:ascii="Times New Roman" w:hAnsi="Times New Roman"/>
          <w:b/>
          <w:i w:val="false"/>
          <w:color w:val="000000"/>
          <w:sz w:val="22"/>
        </w:rPr>
        <w:t xml:space="preserve">(17A,80B) </w:t>
      </w:r>
      <w:r>
        <w:rPr>
          <w:rFonts w:ascii="Times New Roman" w:hAnsi="Times New Roman"/>
          <w:b/>
          <w:i w:val="false"/>
          <w:color w:val="000000"/>
          <w:sz w:val="22"/>
        </w:rPr>
        <w:t xml:space="preserve">Scope of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This chapter outlines generally applicable standards and a uniform process for the granting of individual waivers from rules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Exclusions. </w:t>
      </w:r>
      <w:r>
        <w:rPr>
          <w:rFonts w:ascii="Times New Roman" w:hAnsi="Times New Roman"/>
          <w:b w:val="false"/>
          <w:i w:val="false"/>
          <w:color w:val="000000"/>
          <w:sz w:val="22"/>
        </w:rPr>
        <w:t>This chapter does not apply to the following minimum standards for Iowa law enforcement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Eighteen years of age at time of appointment, </w:t>
      </w:r>
      <w:hyperlink r:id="rId5">
        <w:r>
          <w:rPr>
            <w:rStyle w:val="Hyperlink"/>
            <w:rFonts w:ascii="Times New Roman" w:hAnsi="Times New Roman"/>
            <w:b w:val="false"/>
            <w:i w:val="false"/>
            <w:color w:val="000000"/>
            <w:sz w:val="22"/>
          </w:rPr>
          <w:t>501—subrule 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fitness, </w:t>
      </w:r>
      <w:hyperlink r:id="rId6">
        <w:r>
          <w:rPr>
            <w:rStyle w:val="Hyperlink"/>
            <w:rFonts w:ascii="Times New Roman" w:hAnsi="Times New Roman"/>
            <w:b w:val="false"/>
            <w:i w:val="false"/>
            <w:color w:val="000000"/>
            <w:sz w:val="22"/>
          </w:rPr>
          <w:t>501—subrule 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Vision requirements, </w:t>
      </w:r>
      <w:hyperlink r:id="rId7">
        <w:r>
          <w:rPr>
            <w:rStyle w:val="Hyperlink"/>
            <w:rFonts w:ascii="Times New Roman" w:hAnsi="Times New Roman"/>
            <w:b w:val="false"/>
            <w:i w:val="false"/>
            <w:color w:val="000000"/>
            <w:sz w:val="22"/>
          </w:rPr>
          <w:t>501—subrule 2.1(9)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Normal hearing, </w:t>
      </w:r>
      <w:hyperlink r:id="rId8">
        <w:r>
          <w:rPr>
            <w:rStyle w:val="Hyperlink"/>
            <w:rFonts w:ascii="Times New Roman" w:hAnsi="Times New Roman"/>
            <w:b w:val="false"/>
            <w:i w:val="false"/>
            <w:color w:val="000000"/>
            <w:sz w:val="22"/>
          </w:rPr>
          <w:t>501—subrule 2.1(10)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501—16.3</w:t>
      </w:r>
      <w:r>
        <w:rPr>
          <w:rFonts w:ascii="Times New Roman" w:hAnsi="Times New Roman"/>
          <w:b/>
          <w:i w:val="false"/>
          <w:color w:val="000000"/>
          <w:sz w:val="22"/>
        </w:rPr>
        <w:t xml:space="preserve">(17A,80B)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w:t>
      </w:r>
      <w:hyperlink r:id="rId9">
        <w:r>
          <w:rPr>
            <w:rStyle w:val="Hyperlink"/>
            <w:rFonts w:ascii="Times New Roman" w:hAnsi="Times New Roman"/>
            <w:b w:val="false"/>
            <w:i w:val="false"/>
            <w:color w:val="000000"/>
            <w:sz w:val="22"/>
          </w:rPr>
          <w:t>rule 16.5(17A,80B)</w:t>
        </w:r>
      </w:hyperlink>
      <w:r>
        <w:rPr>
          <w:rFonts w:ascii="Times New Roman" w:hAnsi="Times New Roman"/>
          <w:b w:val="false"/>
          <w:i w:val="false"/>
          <w:color w:val="000000"/>
          <w:sz w:val="22"/>
        </w:rPr>
        <w:t>, the Iowa law enforcement academy council may in its sole discretion issue an order waiving in whole or in part the requirements of a rule if the council finds, based upon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i w:val="false"/>
          <w:color w:val="000000"/>
          <w:sz w:val="22"/>
        </w:rPr>
        <w:t>501—16.4</w:t>
      </w:r>
      <w:r>
        <w:rPr>
          <w:rFonts w:ascii="Times New Roman" w:hAnsi="Times New Roman"/>
          <w:b/>
          <w:i w:val="false"/>
          <w:color w:val="000000"/>
          <w:sz w:val="22"/>
        </w:rPr>
        <w:t xml:space="preserve">(17A,80B)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in writing addressed to and submitted to the council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contested case, the petition shall be submitted to the director of the academy.</w:t>
      </w:r>
    </w:p>
    <w:p>
      <w:pPr>
        <w:spacing w:before="0" w:after="0"/>
        <w:ind w:left="120"/>
        <w:jc w:val="both"/>
      </w:pPr>
      <w:r>
        <w:rPr>
          <w:rFonts w:ascii="Times New Roman" w:hAnsi="Times New Roman"/>
          <w:b/>
          <w:i w:val="false"/>
          <w:color w:val="000000"/>
          <w:sz w:val="22"/>
        </w:rPr>
        <w:t>501—16.5</w:t>
      </w:r>
      <w:r>
        <w:rPr>
          <w:rFonts w:ascii="Times New Roman" w:hAnsi="Times New Roman"/>
          <w:b/>
          <w:i w:val="false"/>
          <w:color w:val="000000"/>
          <w:sz w:val="22"/>
        </w:rPr>
        <w:t xml:space="preserve">(17A,80B)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petitioner: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person for whom the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and citation to the specific rule from which the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criteria set out in </w:t>
      </w:r>
      <w:hyperlink r:id="rId10">
        <w:r>
          <w:rPr>
            <w:rStyle w:val="Hyperlink"/>
            <w:rFonts w:ascii="Times New Roman" w:hAnsi="Times New Roman"/>
            <w:b w:val="false"/>
            <w:i w:val="false"/>
            <w:color w:val="000000"/>
            <w:sz w:val="22"/>
          </w:rPr>
          <w:t>rule 16.3(17A,80B)</w:t>
        </w:r>
      </w:hyperlink>
      <w:r>
        <w:rPr>
          <w:rFonts w:ascii="Times New Roman" w:hAnsi="Times New Roman"/>
          <w:b w:val="false"/>
          <w:i w:val="false"/>
          <w:color w:val="000000"/>
          <w:sz w:val="22"/>
        </w:rPr>
        <w:t>. This statement shall include a signed certification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petitioner and the council relating to the activity affected by the proposed waiver including any notices of violation, contested case hearings, or investigative reports relating to the activity within the past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petitioner regarding the council’s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entity or person who could be adversely affected by the granting of a waiver.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authorizing persons with knowledge regarding the request to furnish the council with information relevant to the waiver.</w:t>
      </w:r>
    </w:p>
    <w:p>
      <w:pPr>
        <w:spacing w:before="210" w:after="0"/>
        <w:ind w:left="120"/>
        <w:jc w:val="both"/>
      </w:pPr>
      <w:r>
        <w:rPr>
          <w:rFonts w:ascii="Times New Roman" w:hAnsi="Times New Roman"/>
          <w:b/>
          <w:i w:val="false"/>
          <w:color w:val="000000"/>
          <w:sz w:val="22"/>
        </w:rPr>
        <w:t>501—16.6</w:t>
      </w:r>
      <w:r>
        <w:rPr>
          <w:rFonts w:ascii="Times New Roman" w:hAnsi="Times New Roman"/>
          <w:b/>
          <w:i w:val="false"/>
          <w:color w:val="000000"/>
          <w:sz w:val="22"/>
        </w:rPr>
        <w:t xml:space="preserve">(17A,80B)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council may request additional information from the petitioner relative to the petition and surrounding circumstances. If the petition was not filed in a contested case, the council may, on its own motion or at the petitioner’s request, schedule a telephonic or in-person meeting between the petitioner and the council or a committee of the council.</w:t>
      </w:r>
    </w:p>
    <w:p>
      <w:pPr>
        <w:spacing w:before="210" w:after="0"/>
        <w:ind w:left="120"/>
        <w:jc w:val="both"/>
      </w:pPr>
      <w:r>
        <w:rPr>
          <w:rFonts w:ascii="Times New Roman" w:hAnsi="Times New Roman"/>
          <w:b/>
          <w:i w:val="false"/>
          <w:color w:val="000000"/>
          <w:sz w:val="22"/>
        </w:rPr>
        <w:t>501—16.7</w:t>
      </w:r>
      <w:r>
        <w:rPr>
          <w:rFonts w:ascii="Times New Roman" w:hAnsi="Times New Roman"/>
          <w:b/>
          <w:i w:val="false"/>
          <w:color w:val="000000"/>
          <w:sz w:val="22"/>
        </w:rPr>
        <w:t xml:space="preserve">(17A,80B) </w:t>
      </w:r>
      <w:r>
        <w:rPr>
          <w:rFonts w:ascii="Times New Roman" w:hAnsi="Times New Roman"/>
          <w:b/>
          <w:i w:val="false"/>
          <w:color w:val="000000"/>
          <w:sz w:val="22"/>
        </w:rPr>
        <w:t xml:space="preserve">Notice. </w:t>
      </w:r>
      <w:r>
        <w:rPr>
          <w:rFonts w:ascii="Times New Roman" w:hAnsi="Times New Roman"/>
          <w:b w:val="false"/>
          <w:i w:val="false"/>
          <w:color w:val="000000"/>
          <w:sz w:val="22"/>
        </w:rPr>
        <w:t>The council shall acknowledge a petition upon or within a reasonable time after receipt. The council shall ensure that, within 30 days of the receipt of the petition, notice of the pendency of the petition and a concise summary of its contents are provided to all persons to whom notice is required by any provision of law. In addition, the council may give notice to other persons. To accomplish this notice provision, the council may require the petitioner to serve the notice on all persons to whom notice is required by any provision of law, and provide a written statement to the council attesting that notice was provided.</w:t>
      </w:r>
    </w:p>
    <w:p>
      <w:pPr>
        <w:spacing w:before="210" w:after="0"/>
        <w:ind w:left="120"/>
        <w:jc w:val="both"/>
      </w:pPr>
      <w:r>
        <w:rPr>
          <w:rFonts w:ascii="Times New Roman" w:hAnsi="Times New Roman"/>
          <w:b/>
          <w:i w:val="false"/>
          <w:color w:val="000000"/>
          <w:sz w:val="22"/>
        </w:rPr>
        <w:t>501—16.8</w:t>
      </w:r>
      <w:r>
        <w:rPr>
          <w:rFonts w:ascii="Times New Roman" w:hAnsi="Times New Roman"/>
          <w:b/>
          <w:i w:val="false"/>
          <w:color w:val="000000"/>
          <w:sz w:val="22"/>
        </w:rPr>
        <w:t xml:space="preserve">(17A,80B)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11">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council proceedings for a waiver only when the council so provides by rule or order or is required to do so by statute.</w:t>
      </w:r>
    </w:p>
    <w:p>
      <w:pPr>
        <w:spacing w:before="0" w:after="0"/>
        <w:ind w:left="120"/>
        <w:jc w:val="both"/>
      </w:pPr>
      <w:r>
        <w:rPr>
          <w:rFonts w:ascii="Times New Roman" w:hAnsi="Times New Roman"/>
          <w:b/>
          <w:i w:val="false"/>
          <w:color w:val="000000"/>
          <w:sz w:val="22"/>
        </w:rPr>
        <w:t>501—16.9</w:t>
      </w:r>
      <w:r>
        <w:rPr>
          <w:rFonts w:ascii="Times New Roman" w:hAnsi="Times New Roman"/>
          <w:b/>
          <w:i w:val="false"/>
          <w:color w:val="000000"/>
          <w:sz w:val="22"/>
        </w:rPr>
        <w:t xml:space="preserve">(17A,80B)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16.9(1)</w:t>
      </w:r>
      <w:r>
        <w:rPr>
          <w:rFonts w:ascii="Times New Roman" w:hAnsi="Times New Roman"/>
          <w:b w:val="false"/>
          <w:i w:val="false"/>
          <w:color w:val="000000"/>
          <w:sz w:val="22"/>
        </w:rPr>
        <w:t> </w:t>
      </w:r>
      <w:r>
        <w:rPr>
          <w:rFonts w:ascii="Times New Roman" w:hAnsi="Times New Roman"/>
          <w:b w:val="false"/>
          <w:i/>
          <w:color w:val="000000"/>
          <w:sz w:val="22"/>
        </w:rPr>
        <w:t xml:space="preserve">Council discretion. </w:t>
      </w:r>
      <w:r>
        <w:rPr>
          <w:rFonts w:ascii="Times New Roman" w:hAnsi="Times New Roman"/>
          <w:b w:val="false"/>
          <w:i w:val="false"/>
          <w:color w:val="000000"/>
          <w:sz w:val="22"/>
        </w:rPr>
        <w:t>The final decision on whether the circumstances justify the granting of a waiver shall be made at the sole discretion of the council, upon consideration of all relevant factors. Each petition for a waiver shall be evaluated by the council based upon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council should exercise its discretion to grant a waiver from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council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council may place any condition or conditions on a waiver that the council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not be practical. If a temporary waiver is granted, there is no automatic right to renewal. At the sole discretion of the council, a waiver may be renewed if the council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council shall grant or deny a petition for a waiver as soon as practicable but, in any event, shall do so within 120 days of its receipt, unless the petitioner agrees to a later date. However, if a petition is filed in a contested case, the council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council to grant or deny a petition within the required time period shall be deemed a denial of that petition by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i w:val="false"/>
          <w:color w:val="000000"/>
          <w:sz w:val="22"/>
        </w:rPr>
        <w:t>501—16.10</w:t>
      </w:r>
      <w:r>
        <w:rPr>
          <w:rFonts w:ascii="Times New Roman" w:hAnsi="Times New Roman"/>
          <w:b/>
          <w:i w:val="false"/>
          <w:color w:val="000000"/>
          <w:sz w:val="22"/>
        </w:rPr>
        <w:t xml:space="preserve">(17A,80B)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All orders granting or denying a waiver petition shall be indexed, filed, and available for public inspection as provided in Iowa Code sections </w:t>
      </w:r>
      <w:hyperlink r:id="rId1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that the council is authorized or required to keep confidential. The council may accordingly redact confidential information from petitions or orders prior to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501—16.11</w:t>
      </w:r>
      <w:r>
        <w:rPr>
          <w:rFonts w:ascii="Times New Roman" w:hAnsi="Times New Roman"/>
          <w:b/>
          <w:i w:val="false"/>
          <w:color w:val="000000"/>
          <w:sz w:val="22"/>
        </w:rPr>
        <w:t xml:space="preserve">(17A,80B)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In compliance with Iowa Code section </w:t>
      </w:r>
      <w:hyperlink r:id="rId15">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within 60 days of granting or denying a waiver, the council shall make a submission on the Internet site established pursuant to Iowa Code section </w:t>
      </w:r>
      <w:hyperlink r:id="rId1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the submission of waiver information. The submission shall identify the rules for which a waiver has been granted or denied, the number of times a waiver was granted or denied for each rule, a citation to the statutory provisions implemented by these rules, and a general summary of the reasons justifying the council’s actions on waiver requests. If practicable, the submission shall detail the extent to which the granting of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5860C</w:t>
      </w:r>
      <w:r>
        <w:rPr>
          <w:rFonts w:ascii="Times New Roman" w:hAnsi="Times New Roman"/>
          <w:b w:val="false"/>
          <w:i w:val="false"/>
          <w:color w:val="000000"/>
          <w:sz w:val="16"/>
        </w:rPr>
        <w:t>, IAB 8/25/21, effective 9/29/21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501—16.12</w:t>
      </w:r>
      <w:r>
        <w:rPr>
          <w:rFonts w:ascii="Times New Roman" w:hAnsi="Times New Roman"/>
          <w:b/>
          <w:i w:val="false"/>
          <w:color w:val="000000"/>
          <w:sz w:val="22"/>
        </w:rPr>
        <w:t xml:space="preserve">(17A,80B)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In addition to any other sanctions that might be available or applicable, a waiver issued by the council pursuant to this chapter may be withdrawn, canceled, or modified if, after appropriate notice and hearing, the council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501—16.13</w:t>
      </w:r>
      <w:r>
        <w:rPr>
          <w:rFonts w:ascii="Times New Roman" w:hAnsi="Times New Roman"/>
          <w:b/>
          <w:i w:val="false"/>
          <w:color w:val="000000"/>
          <w:sz w:val="22"/>
        </w:rPr>
        <w:t xml:space="preserve">(17A,80B)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501—16.14</w:t>
      </w:r>
      <w:r>
        <w:rPr>
          <w:rFonts w:ascii="Times New Roman" w:hAnsi="Times New Roman"/>
          <w:b/>
          <w:i w:val="false"/>
          <w:color w:val="000000"/>
          <w:sz w:val="22"/>
        </w:rPr>
        <w:t xml:space="preserve">(17A,80B)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council issues an order granting a waiver, the order is a defense within its terms and the specific facts indicated therein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501—16.15</w:t>
      </w:r>
      <w:r>
        <w:rPr>
          <w:rFonts w:ascii="Times New Roman" w:hAnsi="Times New Roman"/>
          <w:b/>
          <w:i w:val="false"/>
          <w:color w:val="000000"/>
          <w:sz w:val="22"/>
        </w:rPr>
        <w:t xml:space="preserve">(17A,80B)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council’s decision to grant or deny a waiver petition may be taken in accordance with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4/11/01, Notice 3/7/01—published 5/2/01, effective 6/6/01]</w:t>
      </w:r>
    </w:p>
    <w:p>
      <w:pPr>
        <w:spacing w:before="0" w:after="0"/>
        <w:ind w:left="120"/>
        <w:jc w:val="center"/>
      </w:pPr>
      <w:r>
        <w:rPr>
          <w:rFonts w:ascii="Times New Roman" w:hAnsi="Times New Roman"/>
          <w:b w:val="false"/>
          <w:i w:val="false"/>
          <w:color w:val="000000"/>
          <w:sz w:val="21"/>
        </w:rPr>
        <w:t>[Filed ARC 5860C</w:t>
      </w:r>
      <w:r>
        <w:rPr>
          <w:rFonts w:ascii="Times New Roman" w:hAnsi="Times New Roman"/>
          <w:b w:val="false"/>
          <w:i w:val="false"/>
          <w:color w:val="000000"/>
          <w:sz w:val="21"/>
        </w:rPr>
        <w:t xml:space="preserve"> (Notice ARC 5689C, IAB 6/16/21)</w:t>
      </w:r>
      <w:r>
        <w:rPr>
          <w:rFonts w:ascii="Times New Roman" w:hAnsi="Times New Roman"/>
          <w:b w:val="false"/>
          <w:i w:val="false"/>
          <w:color w:val="000000"/>
          <w:sz w:val="21"/>
        </w:rPr>
        <w:t>, IAB 8/25/21, effective 9/29/21]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01.2.1.pdf" Type="http://schemas.openxmlformats.org/officeDocument/2006/relationships/hyperlink" Id="rId5"/>
    <Relationship TargetMode="External" Target="https://www.legis.iowa.gov/docs/iac/rule/501.2.1.pdf" Type="http://schemas.openxmlformats.org/officeDocument/2006/relationships/hyperlink" Id="rId6"/>
    <Relationship TargetMode="External" Target="https://www.legis.iowa.gov/docs/iac/rule/501.2.1.pdf" Type="http://schemas.openxmlformats.org/officeDocument/2006/relationships/hyperlink" Id="rId7"/>
    <Relationship TargetMode="External" Target="https://www.legis.iowa.gov/docs/iac/rule/501.2.1.pdf" Type="http://schemas.openxmlformats.org/officeDocument/2006/relationships/hyperlink" Id="rId8"/>
    <Relationship TargetMode="External" Target="https://www.legis.iowa.gov/docs/iac/rule/501.16.5.pdf" Type="http://schemas.openxmlformats.org/officeDocument/2006/relationships/hyperlink" Id="rId9"/>
    <Relationship TargetMode="External" Target="https://www.legis.iowa.gov/docs/iac/rule/501.16.3.pdf" Type="http://schemas.openxmlformats.org/officeDocument/2006/relationships/hyperlink" Id="rId10"/>
    <Relationship TargetMode="External" Target="https://www.legis.iowa.gov/docs/ico/chapter/17A.10-18A.pdf"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co/chapter/17A.9A.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17A.9A.pdf" Type="http://schemas.openxmlformats.org/officeDocument/2006/relationships/hyperlink" Id="rId15"/>
    <Relationship TargetMode="External" Target="https://www.legis.iowa.gov/docs/ico/chapter/17A.9A.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80B.pdf" Type="http://schemas.openxmlformats.org/officeDocument/2006/relationships/hyperlink" Id="rId19"/>
    <Relationship TargetMode="External" Target="https://www.legis.iowa.gov/docs/ico/chapter/80D.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