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497—9.1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 </w:t>
      </w:r>
      <w:r>
        <w:rPr>
          <w:rFonts w:ascii="Times New Roman" w:hAnsi="Times New Roman"/>
          <w:b w:val="false"/>
          <w:i w:val="false"/>
          <w:color w:val="000000"/>
          <w:sz w:val="22"/>
        </w:rPr>
        <w:t>For purposes of this chapter, a “waiver” means action by the board that suspends, in whole or in part, the requirements or provisions of a rule as applied to any identified person on the basis of the particular circumstances of that person. The term “person” shall include any individual or entity subject to the board’s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5766C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497—9.2</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board in situations when no other more specifically applicable law or rule provides for waivers. To the extent another more specific provision of law or rule governs the issuance of a waiver, the more specific provision shall supersede this chapter with respect to any waiver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board may grant a waiver from a rule only if the board has sole jurisdiction over the rule and the requested waiver is consistent with applicable statutes, constitutional provisions or other provisions of law. The board may not waive requirements created or duties imposed by statute or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497—9.4</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rule </w:t>
      </w:r>
      <w:hyperlink r:id="rId5">
        <w:r>
          <w:rPr>
            <w:rStyle w:val="Hyperlink"/>
            <w:rFonts w:ascii="Times New Roman" w:hAnsi="Times New Roman"/>
            <w:b w:val="false"/>
            <w:i w:val="false"/>
            <w:color w:val="000000"/>
            <w:sz w:val="22"/>
          </w:rPr>
          <w:t>497—9.6</w:t>
        </w:r>
      </w:hyperlink>
      <w:r>
        <w:rPr>
          <w:rFonts w:ascii="Times New Roman" w:hAnsi="Times New Roman"/>
          <w:b w:val="false"/>
          <w:i w:val="false"/>
          <w:color w:val="000000"/>
          <w:sz w:val="22"/>
        </w:rPr>
        <w:t>(17A), the board may in its sole discretion issue an order waiving in whole or in part the requirements of a rule if the board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other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court order;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the public interest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497—9.5</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shall be submitted in writing to the Iowa Public Information Board, Wallace State Office Building, Third Floor, 502 East 9th Street, Des Moines, Iowa 50319. If the request relates to a pending contested case, a copy of the request shall also be filed in the contested case proceeding addressed to the board’s executive director at the above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petitioner: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for whom a waiver is being requested and the case number of any related contested cases, if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the petitioner believes would justify a waiver under each of the four criteria described in rule </w:t>
      </w:r>
      <w:hyperlink r:id="rId6">
        <w:r>
          <w:rPr>
            <w:rStyle w:val="Hyperlink"/>
            <w:rFonts w:ascii="Times New Roman" w:hAnsi="Times New Roman"/>
            <w:b w:val="false"/>
            <w:i w:val="false"/>
            <w:color w:val="000000"/>
            <w:sz w:val="22"/>
          </w:rPr>
          <w:t>497—9.4</w:t>
        </w:r>
      </w:hyperlink>
      <w:r>
        <w:rPr>
          <w:rFonts w:ascii="Times New Roman" w:hAnsi="Times New Roman"/>
          <w:b w:val="false"/>
          <w:i w:val="false"/>
          <w:color w:val="000000"/>
          <w:sz w:val="22"/>
        </w:rPr>
        <w:t>(17A). This shall include a signed statement from the petitioner attesting to the accuracy of the facts provided in the petition and a statement of reasons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contacts between the board and the petitioner within the past three years relating to the activity affected by the proposed waiver. This shall include any notices of violation whether resolved through administration resolution or a contested case proceeding within the past three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petitioner regarding the board’s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the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facts relevant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authorizing the persons with knowledge regarding the request to furnish the board with information relevant to the proposed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497—9.7</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497—9.8</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upon receipt. The board shall ensure that, within 30 days of the receipt of the petition, notice of the pendency of the petition and a concise summary of its contents have been provided to all persons to whom notice is required by any provision of law. In addition, the board may give notice to other persons. To accomplish this notice provision, the board may require the petitioner to serve the notice on all persons to whom notice is required by any provision of law and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proceedings shall apply to any petition for a waiver filed in a contested case. Those provisions shall otherwise apply to board proceedings for a waiver only when the board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497—9.10</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The order shall include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The board shall evaluate each petition for a waiver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the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ten business days of its issuance, any order issued under these rules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497—9.11</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made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497—9.12</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The board shall submit information about granted and denied waivers to the Internet site pursuant to Iowa Code section 17A.9A within 60 days. The submission shall identify the rules for which a waiver has been granted or denied, the number of times a waiver was granted or denied for each rule and a citation to the statutory provisions implemented by the rules. The submission shall include a general summary of the reasons justifying the board’s actions on waiver requests and, if practicable, shall detail the extent to which the granting of a waiver has affected the general applicability of the rule itself and the extent to which the granting of the waiver has established a precedent for additional waivers.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5766C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497—9.13</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of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alternative means of ensuring adequate protection of the public interest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497—9.14</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for the person to whom the order pertains, within the terms and the specified facts indicated therein,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497—9.15</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Judicial review of a board decision to grant or deny a waiver petition shall be in accordance with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2138C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2138C</w:t>
      </w:r>
      <w:r>
        <w:rPr>
          <w:rFonts w:ascii="Times New Roman" w:hAnsi="Times New Roman"/>
          <w:b w:val="false"/>
          <w:i w:val="false"/>
          <w:color w:val="000000"/>
          <w:sz w:val="21"/>
        </w:rPr>
        <w:t xml:space="preserve"> (Notice ARC 2039C,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5766C</w:t>
      </w:r>
      <w:r>
        <w:rPr>
          <w:rFonts w:ascii="Times New Roman" w:hAnsi="Times New Roman"/>
          <w:b w:val="false"/>
          <w:i w:val="false"/>
          <w:color w:val="000000"/>
          <w:sz w:val="21"/>
        </w:rPr>
        <w:t xml:space="preserve"> (Notice ARC 5578C, IAB 4/21/21)</w:t>
      </w:r>
      <w:r>
        <w:rPr>
          <w:rFonts w:ascii="Times New Roman" w:hAnsi="Times New Roman"/>
          <w:b w:val="false"/>
          <w:i w:val="false"/>
          <w:color w:val="000000"/>
          <w:sz w:val="21"/>
        </w:rPr>
        <w:t>, IAB 7/14/21, effective 8/18/21]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7.9.6.pdf" Type="http://schemas.openxmlformats.org/officeDocument/2006/relationships/hyperlink" Id="rId5"/>
    <Relationship TargetMode="External" Target="https://www.legis.iowa.gov/docs/iac/rule/497.9.4.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7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