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Iowa public information board hereby adopts, with the following exceptions and amendments, the Uniform Rules on Agency Procedure relating to fair information practices which are published on the Iowa general assembly’s Web site at </w:t>
      </w:r>
      <w:hyperlink r:id="rId5">
        <w:r>
          <w:rPr>
            <w:rStyle w:val="Hyperlink"/>
            <w:rFonts w:ascii="Times New Roman" w:hAnsi="Times New Roman"/>
            <w:b w:val="false"/>
            <w:i w:val="false"/>
            <w:color w:val="000000"/>
            <w:sz w:val="22"/>
            <w:u w:val="single"/>
          </w:rPr>
          <w:t>https://www.legis.iowa.gov/DOCS/Rules/Current/UniformRules.pdf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497—7.1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public information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means records, as defined under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law, which are not disclosed to members of the public unless otherwise ordered by a court, by the lawful custodian of the records, or by another person duly authorized to release the records. This includes records which the board is prohibited by law from making available for inspection by members of the public and those exempt records which the board has lawfully determined not to disclose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 xml:space="preserve">means those records which are not authorized or required to be kept confidential under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is in the physical possession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board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board determinations with respect to the handling of confidential records and the implementation of the fair information practices Act. The board is committed to the policies set forth in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and board staff shall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board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board record shall be directed to the Iowa Public Information Board, Wallace State Office Building, 502 East 9th Street, Des Moines, Iowa 50319. If the requested record is not on file in the board office, the custodian will arrange for it to be retrieved from state archives and made available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Records of the board shall be made available during customary office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on Monday through Friday, excluding Saturdays, Sundays, and legal holidays. Records made available via the board’s Web site at </w:t>
      </w:r>
      <w:hyperlink r:id="rId10">
        <w:r>
          <w:rPr>
            <w:rStyle w:val="Hyperlink"/>
            <w:rFonts w:ascii="Times New Roman" w:hAnsi="Times New Roman"/>
            <w:b w:val="false"/>
            <w:i w:val="false"/>
            <w:color w:val="000000"/>
            <w:sz w:val="22"/>
            <w:u w:val="single"/>
          </w:rPr>
          <w:t>https://ipib@iowa.gov/</w:t>
        </w:r>
      </w:hyperlink>
      <w:r>
        <w:rPr>
          <w:rFonts w:ascii="Times New Roman" w:hAnsi="Times New Roman"/>
          <w:b w:val="false"/>
          <w:i w:val="false"/>
          <w:color w:val="000000"/>
          <w:sz w:val="22"/>
        </w:rPr>
        <w:t xml:space="preserve"> are available at all hours and on all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board records may be made in writing, in person, or by telephone. Requests shall identify the particular records sought by name or description in order to facilitate the location of the record. Mail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Granting access to records. </w:t>
      </w:r>
      <w:r>
        <w:rPr>
          <w:rFonts w:ascii="Times New Roman" w:hAnsi="Times New Roman"/>
          <w:b w:val="false"/>
          <w:i w:val="false"/>
          <w:color w:val="000000"/>
          <w:sz w:val="22"/>
        </w:rPr>
        <w:t xml:space="preserve">The custodian is authorized to grant or deny access to the board’s record according to the provisions of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this chapter or any other provision of law. The decision to grant or deny access may be delegated to one or more designated employees. Access to an open record shall be granted immediately upon request. If the size or nature of the request requires time for compliance, the board shall comply with the request as soon as possible. However, access to such a record may be delayed for one of the purposes authorized by Iowa Code section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The board shall promptly inform the requester of the reason for the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shall, without permission, search or remove any record from board files. Examination and copying of records shall be done under the supervision of board staff.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may be made in the board office unless printed copies are available. If copying equipment is not available in the office where a record is kept, the board shall permit its examination in that office and shall arrange to have copies promptly made elsewhere. Records made available on the board’s Web site may be copied without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Copying costs. </w:t>
      </w:r>
      <w:r>
        <w:rPr>
          <w:rFonts w:ascii="Times New Roman" w:hAnsi="Times New Roman"/>
          <w:b w:val="false"/>
          <w:i w:val="false"/>
          <w:color w:val="000000"/>
          <w:sz w:val="22"/>
        </w:rPr>
        <w:t>Price schedules for regularly published records and for copies of records not regularly published shall be posted by the board. Copies may be made by or for members of the public at cost as determined and posted by the custodian of the record. The cost of postage and of other services provided in connection with the request may be charged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 </w:t>
      </w:r>
      <w:r>
        <w:rPr>
          <w:rFonts w:ascii="Times New Roman" w:hAnsi="Times New Roman"/>
          <w:b w:val="false"/>
          <w:i w:val="false"/>
          <w:color w:val="000000"/>
          <w:sz w:val="22"/>
        </w:rPr>
        <w:t>An hourly fee may be charged for actual board expenses in searching for, and supervising the examination and copying of, requested records. The fee shall be based upon the pay scale of the employee involved and other actual costs incurred. No fee shall be charged if the records are not made available for inspection, or if the time required does not exceed three hours in duration, or if the time required for the search was the result of a board error or a record-keeping problem. The board shall post the hourly fees to be charged in routine cases for search and supervision of records. The board shall give advance notice to the requester if it will be necessary to use an employee with a higher hourly wage in order to find or supervise the particular records in question, and shall indicate the amount of that higher hourly wage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requester to make an advance deposit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charged under this subrule, the board may require advance payment of the full amount of any estimated fee before the board processes a new or pending request for access to records from that requester, as well as payment in full of the amount previously 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497—7.4</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Procedures for access to confidential records. </w:t>
      </w:r>
      <w:r>
        <w:rPr>
          <w:rFonts w:ascii="Times New Roman" w:hAnsi="Times New Roman"/>
          <w:b w:val="false"/>
          <w:i w:val="false"/>
          <w:color w:val="000000"/>
          <w:sz w:val="22"/>
        </w:rPr>
        <w:t xml:space="preserve">The following procedures for access to confidential records are in addition to those specified for all board records in rule </w:t>
      </w:r>
      <w:hyperlink r:id="rId13">
        <w:r>
          <w:rPr>
            <w:rStyle w:val="Hyperlink"/>
            <w:rFonts w:ascii="Times New Roman" w:hAnsi="Times New Roman"/>
            <w:b w:val="false"/>
            <w:i w:val="false"/>
            <w:color w:val="000000"/>
            <w:sz w:val="22"/>
          </w:rPr>
          <w:t>497—7.3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shall be required to provide proof of identity if access to the record is restricted to a particular person or class of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A request to review a confidential board record shall be in writing. A person requesting access to a confidential board record may be required to sign a certified statement or affidavit enumerating the specific grounds justifying access to the confidential record and to provide any proof necessary to establish relevant facts. Such request may be referred to the full board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of a confidential board record or the board denies a request for access to a confidential record, in whole or in part, the requester shall be notified in writing. The denial shall be signed by the custodian of the confidential record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person or persons responsible for the denial and a brief citation to the statute or other provision of law that prohibits disclosure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citation to the statute vesting discretion in the custodian to deny disclosure of the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grounds for the denial to this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government record as a confidential record and its withholding from examination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Board to maintain confidential status of government records. </w:t>
      </w:r>
      <w:r>
        <w:rPr>
          <w:rFonts w:ascii="Times New Roman" w:hAnsi="Times New Roman"/>
          <w:b w:val="false"/>
          <w:i w:val="false"/>
          <w:color w:val="000000"/>
          <w:sz w:val="22"/>
        </w:rPr>
        <w:t xml:space="preserve">If, pursuant to the board’s investigation of a complaint, the record of a government body comes into the board’s possession, either pursuant to the government body’s voluntary response to the board’s request or in response to a board subpoena, and if the government body makes a claim that all or part of the record constitutes a confidential record 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the board shall maintain the confidential status of the record or part of the record until the claim is adjudicated as hereafter provided. If a person provides the board with a government record without the apparent authority of the lawful custodian, the board shall confirm the authenticity of the record with the government body and shall inquire of the government body if it makes claim that all or part of the record constitutes a confidential record 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If the government body makes claim that all or part of the record constitutes a confidential record, the board shall maintain the confidential status of the record or part of the record until the claim is adjudicated as hereafter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Who may file request. </w:t>
      </w:r>
      <w:r>
        <w:rPr>
          <w:rFonts w:ascii="Times New Roman" w:hAnsi="Times New Roman"/>
          <w:b w:val="false"/>
          <w:i w:val="false"/>
          <w:color w:val="000000"/>
          <w:sz w:val="22"/>
        </w:rPr>
        <w:t xml:space="preserve">Any person, including a government body, who would be aggrieved or adversely affected by disclosure of all or a part of a record to members of the public may file a request, as provided in this rule, for the record’s treatment as a confidential record. Failure of a person to request confidential record treatment for all or part of a record, such as information obtained in the course of a board investigation or to achieve voluntary compliance with </w:t>
      </w:r>
      <w:r>
        <w:rPr>
          <w:rFonts w:ascii="Times New Roman" w:hAnsi="Times New Roman"/>
          <w:b w:val="false"/>
          <w:i w:val="false"/>
          <w:color w:val="000000"/>
          <w:sz w:val="22"/>
        </w:rPr>
        <w:t>2012 Iowa Acts, chapter 1115</w:t>
      </w:r>
      <w:r>
        <w:rPr>
          <w:rFonts w:ascii="Times New Roman" w:hAnsi="Times New Roman"/>
          <w:b w:val="false"/>
          <w:i w:val="false"/>
          <w:color w:val="000000"/>
          <w:sz w:val="22"/>
        </w:rPr>
        <w:t>, does not preclude the board from treating the record as a confidential record. The information may become an open record once the matter is resolved or dismissed.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A request for the treatment of a government record as a confidential record shall be in writing and shall be filed with the board custodian of the record. The request shall include the specific grounds justifying confidential record treatment for all or part of the record; the specific provision of law that authorizes such confidential record treatment; and the name, address, and telephone number of the person authorized to respond to any board action concerning the request. A person, including a government body, filing such a request shall attach a copy of the record in question. The material to which the request applies shall be physically separated from any materials to which the request does not apply. The request shall be attached to the materials to which it applies. Each page of the material to which the request applies shall be clearly marked confidential. If the original record is being submitted to the board by the person requesting confidentiality at the same time the request is filed, the person shall indicate conspicuously on the original record that all or portions of it are a confidential record. A request for treatment of all or portions of a record as a confidential record for a limited time period shall also specify the precise period of time for which such confidential record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confidentiality. </w:t>
      </w:r>
      <w:r>
        <w:rPr>
          <w:rFonts w:ascii="Times New Roman" w:hAnsi="Times New Roman"/>
          <w:b w:val="false"/>
          <w:i w:val="false"/>
          <w:color w:val="000000"/>
          <w:sz w:val="22"/>
        </w:rPr>
        <w:t>If a person, including a government body, who has submitted business information to the board does not request confidential record treatment for all or part of that information, the board custodian of records containing that information may assume that the person who submitted the information has no objection to its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 xml:space="preserve">A board decision with respect to the confidentiality of all or parts of a record may be made when a request for the record’s treatment as a confidential record is filed or when the board receives a request for access to the record, or when a complaint alleging a violation of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is resolved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color w:val="000000"/>
          <w:sz w:val="22"/>
        </w:rPr>
        <w:t xml:space="preserve">Effect of granted request. </w:t>
      </w:r>
      <w:r>
        <w:rPr>
          <w:rFonts w:ascii="Times New Roman" w:hAnsi="Times New Roman"/>
          <w:b w:val="false"/>
          <w:i w:val="false"/>
          <w:color w:val="000000"/>
          <w:sz w:val="22"/>
        </w:rPr>
        <w:t>If a request for confidential record treatment is granted, or if action on such a request is deferred, a copy of the record from which the matter in question has been deleted and a copy of the board decision will be placed in the public file in lieu of the original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w:t>
      </w:r>
      <w:r>
        <w:rPr>
          <w:rFonts w:ascii="Times New Roman" w:hAnsi="Times New Roman"/>
          <w:b w:val="false"/>
          <w:i w:val="false"/>
          <w:color w:val="000000"/>
          <w:sz w:val="22"/>
        </w:rPr>
        <w:t> </w:t>
      </w:r>
      <w:r>
        <w:rPr>
          <w:rFonts w:ascii="Times New Roman" w:hAnsi="Times New Roman"/>
          <w:b w:val="false"/>
          <w:i/>
          <w:color w:val="000000"/>
          <w:sz w:val="22"/>
        </w:rPr>
        <w:t xml:space="preserve">Board denial of request for confidential record treatment. </w:t>
      </w:r>
      <w:r>
        <w:rPr>
          <w:rFonts w:ascii="Times New Roman" w:hAnsi="Times New Roman"/>
          <w:b w:val="false"/>
          <w:i w:val="false"/>
          <w:color w:val="000000"/>
          <w:sz w:val="22"/>
        </w:rPr>
        <w:t xml:space="preserve">If the board determines that the record of a government body which is claimed to be confidential in whole or in part is not entitled to confidential treatment under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under other applicable provisions of law or applicable precedent, the board may enter its decision denying the request for confidential record treatment. If the record is the subject of a pending complaint, the board may withhold an order addressing confidentiality until the complaint is resolved. Upon resolution of the complaint, the board may enter an order concluding the record is confidential, or directing the government body to release the record, or any part thereof which the board determines not to be entitled to confidential record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the subject shall have the right to have a written statement of additions, dissents or objections entered into the record. The subject shall send the statement to the Executive Director, Iowa Public Information Board, Wallace State Office Building, 502 East 9th Street, Des Moines, Iowa 50319. The statement shall be dated and signed by the subject and shall include the subject’s current address and telephone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disclose by a subject individual. </w:t>
      </w:r>
      <w:r>
        <w:rPr>
          <w:rFonts w:ascii="Times New Roman" w:hAnsi="Times New Roman"/>
          <w:b w:val="false"/>
          <w:i w:val="false"/>
          <w:color w:val="000000"/>
          <w:sz w:val="22"/>
        </w:rPr>
        <w:t>To the extent allowed by law, the subject may consent in writing to agency disclosure of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The board is required to obtain information to assist in making decisions regarding classification, programming, security and administrative management. Requests to third parties for this information may involve the release of confidential information about individuals. Except as provided by law, the board may make these requests only when the individual has authorized the release.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497—7.8</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units of local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when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routine use as permitted by law and in the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1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497—7.10</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However, the board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may be withheld from the subject, except as required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board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497—7.11</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Board records are open for public inspection and copying unless otherwise prohibited by current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kept confidential.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obtained under subpoena or through a board investigation that are confidential under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governmental body (Iowa Code section </w:t>
      </w:r>
      <w:hyperlink r:id="rId2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2">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or attorney-client communications, or which are otherwise privileged. Attorney work product is confidential under Iowa Code sections </w:t>
      </w:r>
      <w:hyperlink r:id="rId2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Rule of Civil Procedure </w:t>
      </w:r>
      <w:r>
        <w:rPr>
          <w:rFonts w:ascii="Times New Roman" w:hAnsi="Times New Roman"/>
          <w:b w:val="false"/>
          <w:i w:val="false"/>
          <w:color w:val="000000"/>
          <w:sz w:val="22"/>
        </w:rPr>
        <w:t>1.503(3)</w:t>
      </w:r>
      <w:r>
        <w:rPr>
          <w:rFonts w:ascii="Times New Roman" w:hAnsi="Times New Roman"/>
          <w:b w:val="false"/>
          <w:i w:val="false"/>
          <w:color w:val="000000"/>
          <w:sz w:val="22"/>
        </w:rPr>
        <w:t xml:space="preserve">, Federal Rule of Civil Procedure 26(b)(3), and case law. Attorney-client communications are confidential under Iowa Code sections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records made confidential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497—7.12</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This rule describes the nature and extent of personally identifiable information which is collected, maintained and retrieved by the agency by personal identifier in record systems as defined in this rule. For each record system,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the legal authority for the collection of that information and the means of storage of that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 files. These records are the complaints filed with the board alleging a violation of Iowa Code chapter </w:t>
      </w:r>
      <w:hyperlink r:id="rId2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or 22. The complaint will include a description of the facts on which the complaint is based and the name of the person filing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Records of telephone inquiries. Records of the telephone inquiries may be kept for statistical reasons or to inform the board of the nature and volume of informal, verbal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and tax withholding information concerning the employer-employee relationship. Some of this information is confidential under Iowa Code section </w:t>
      </w:r>
      <w:hyperlink r:id="rId2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497—7.13</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available for public inspection—policies and procedures (excluding security), meeting minutes. </w:t>
      </w:r>
      <w:r>
        <w:rPr>
          <w:rFonts w:ascii="Times New Roman" w:hAnsi="Times New Roman"/>
          <w:b w:val="false"/>
          <w:i w:val="false"/>
          <w:color w:val="000000"/>
          <w:sz w:val="22"/>
        </w:rPr>
        <w:t xml:space="preserve">This rule describes groups of records maintained by the board other than record systems as previously defined. These records are routinely available to the public. However, the board’s file of these records may contain confidential information, as discussed in rule </w:t>
      </w:r>
      <w:hyperlink r:id="rId30">
        <w:r>
          <w:rPr>
            <w:rStyle w:val="Hyperlink"/>
            <w:rFonts w:ascii="Times New Roman" w:hAnsi="Times New Roman"/>
            <w:b w:val="false"/>
            <w:i w:val="false"/>
            <w:color w:val="000000"/>
            <w:sz w:val="22"/>
          </w:rPr>
          <w:t>497—7.12</w:t>
        </w:r>
      </w:hyperlink>
      <w:r>
        <w:rPr>
          <w:rFonts w:ascii="Times New Roman" w:hAnsi="Times New Roman"/>
          <w:b w:val="false"/>
          <w:i w:val="false"/>
          <w:color w:val="000000"/>
          <w:sz w:val="22"/>
        </w:rPr>
        <w:t>(17A,22). The following records are stored both as hard copy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Board meeting records. </w:t>
      </w:r>
      <w:r>
        <w:rPr>
          <w:rFonts w:ascii="Times New Roman" w:hAnsi="Times New Roman"/>
          <w:b w:val="false"/>
          <w:i w:val="false"/>
          <w:color w:val="000000"/>
          <w:sz w:val="22"/>
        </w:rPr>
        <w:t xml:space="preserve">Agendas, minutes and materials presented to the board are available from the office of the executive director, except those records concerning closed sessions which are exempt from disclosure under Iowa Code section </w:t>
      </w:r>
      <w:hyperlink r:id="rId32">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Board meeting records contain information about people who participate in meetings. The information is collected pursuant to Iowa Code section </w:t>
      </w:r>
      <w:hyperlink r:id="rId3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board newsletters, and related documents are available from the board office. Board news releases, project reports, and newsletters may contain information about individuals, including board staff or members of the board.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the board for various board programs are available from the board office.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board uses many legal and technical publications in its work. The public may inspect these publications upon request. Some of these materials may be protected by copyright law. These records are hard copy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board employees’ manual, containing procedures describing the board’s regulations and practices, is available. Subscriptions to all or part of the employees’ manual are available at the cost of production and handling. Requests for subscription information should be addressed to the board office.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497—7.14</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an individual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3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rules of discovery, evidentiary privileges and applicable regulations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0741C</w:t>
      </w:r>
      <w:r>
        <w:rPr>
          <w:rFonts w:ascii="Times New Roman" w:hAnsi="Times New Roman"/>
          <w:b w:val="false"/>
          <w:i w:val="false"/>
          <w:color w:val="000000"/>
          <w:sz w:val="21"/>
        </w:rPr>
        <w:t xml:space="preserve"> (Notice ARC 0644C,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Without Notice ARC 1091C, IAB 10/16/13, effective 11/20/13]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Rules/Current/UniformRules.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ipib@iowa.gov/"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ac/rule/497.7.3.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2A.3.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1.5.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21.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ac/rule/497.7.12.pdf" Type="http://schemas.openxmlformats.org/officeDocument/2006/relationships/hyperlink" Id="rId30"/>
    <Relationship TargetMode="External" Target="https://www.legis.iowa.gov/docs/ico/chapter/17A.4.pdf" Type="http://schemas.openxmlformats.org/officeDocument/2006/relationships/hyperlink" Id="rId31"/>
    <Relationship TargetMode="External" Target="https://www.legis.iowa.gov/docs/ico/chapter/21.5.pdf" Type="http://schemas.openxmlformats.org/officeDocument/2006/relationships/hyperlink" Id="rId32"/>
    <Relationship TargetMode="External" Target="https://www.legis.iowa.gov/docs/ico/chapter/21.3.pdf" Type="http://schemas.openxmlformats.org/officeDocument/2006/relationships/hyperlink" Id="rId33"/>
    <Relationship TargetMode="External" Target="https://www.legis.iowa.gov/docs/ico/chapter/22.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22.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