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AGENCY 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497—6.1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board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board may, before publication of a Notice of Intended Action under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board by causing notice to be published in the Iowa Administrative Bulletin of the subject matter and indicating where, when, and how persons may comment.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board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board. For each anticipated rule-making proceeding the docket shall contain a listing of the precise subject matter which may be submitted for consideration by the board for subsequent proposal under the provisions of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board personnel with whom persons may communicate with respect to the matter, and an indication of the present status within the board of that possible rule. The board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board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board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board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when, and how persons may demand an oral proceeding on the proposed rule if the notice does not already provide for one. </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board shall include in the notice a statement fully describing the specific subject matter of the omitted portion of the text of the proposed rule, the specific issues to be addressed by that omitted text of the proposed rule, and the range of possible choices being considered by the board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subrule </w:t>
      </w:r>
      <w:hyperlink r:id="rId9">
        <w:r>
          <w:rPr>
            <w:rStyle w:val="Hyperlink"/>
            <w:rFonts w:ascii="Times New Roman" w:hAnsi="Times New Roman"/>
            <w:b w:val="false"/>
            <w:i w:val="false"/>
            <w:color w:val="000000"/>
            <w:sz w:val="22"/>
          </w:rPr>
          <w:t>6.12(2)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board a written request indicating the name and address to which such notices should be sent. Within seven days after submission of a Notice of Intended Action to the administrative rules coordinator for publication in the Iowa Administrative Bulletin, the board shall mail or electronically transmit a copy of that notice to subscribers who have filed a written request for either mailing or electronic transmittal with the board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one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Iowa Public Information Board, Wallace State Office Building, 502 East 9th Street, Des Moines, Iowa 50319,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board may, at any time, schedule an oral proceeding on a proposed rule. The board shall schedule an oral proceeding on a proposed rule if, within 20 days after the published Notice of Intended Action, a written request for an opportunity to make oral presentations is submitted to the board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0">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board, a member of the board, or another person designated by the board who will be familiar with the substance of the proposed rule, shall preside at the oral proceeding on a proposed rule. If the board does not preside, the presiding officer shall prepare a memorandum for consideration by the board summarizing the contents of the presentations made at the oral proceeding unless the board determines that such a memorandum is unnecessary because the board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board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board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board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board shall schedule oral proceedings in rooms accessible to and functional for persons with physical disabilities. Persons who have special requirements should contact the board’s executive director at (515)725-1781 in advance to arrange access or other needed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11">
        <w:r>
          <w:rPr>
            <w:rStyle w:val="Hyperlink"/>
            <w:rFonts w:ascii="Times New Roman" w:hAnsi="Times New Roman"/>
            <w:b w:val="false"/>
            <w:i w:val="false"/>
            <w:color w:val="000000"/>
            <w:sz w:val="22"/>
          </w:rPr>
          <w:t>17A.4A(8)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board’s small business impact list by making a written application addressed to Iowa Public Information Board, Wallace State Office Building, 502 East 9th Street, Des Moines, Iowa 50319.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board may at any time request additional information from the applicant to determine whether the applicant is qualified as a small business or as an organization of 25 or more small businesses. The board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board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2">
        <w:r>
          <w:rPr>
            <w:rStyle w:val="Hyperlink"/>
            <w:rFonts w:ascii="Times New Roman" w:hAnsi="Times New Roman"/>
            <w:b w:val="false"/>
            <w:i w:val="false"/>
            <w:color w:val="000000"/>
            <w:sz w:val="22"/>
          </w:rPr>
          <w:t>17A.4(3)</w:t>
        </w:r>
      </w:hyperlink>
      <w:r>
        <w:rPr>
          <w:rFonts w:ascii="Times New Roman" w:hAnsi="Times New Roman"/>
          <w:b w:val="false"/>
          <w:i w:val="false"/>
          <w:color w:val="000000"/>
          <w:sz w:val="22"/>
        </w:rPr>
        <w:t>, the board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board shall issue a regulatory analysis of a proposed rule that conforms to the requirements of Iowa Code section </w:t>
      </w:r>
      <w:hyperlink r:id="rId13">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board shall issue a regulatory analysis of a proposed rule that conforms to the requirements of Iowa Code section </w:t>
      </w:r>
      <w:hyperlink r:id="rId14">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board shall adhere to the time lines described in Iowa Code section </w:t>
      </w:r>
      <w:hyperlink r:id="rId15">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board. The request shall be in writing and satisfy the requirements of Iowa Code section </w:t>
      </w:r>
      <w:hyperlink r:id="rId16">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 </w:t>
      </w:r>
      <w:hyperlink r:id="rId17">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board shall make available, to the maximum extent feasible, copies of the published summary in conformance with Iowa Code section </w:t>
      </w:r>
      <w:hyperlink r:id="rId18">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19">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Iowa Code section </w:t>
      </w:r>
      <w:hyperlink r:id="rId20">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497—6.7</w:t>
      </w:r>
      <w:r>
        <w:rPr>
          <w:rFonts w:ascii="Times New Roman" w:hAnsi="Times New Roman"/>
          <w:b/>
          <w:i w:val="false"/>
          <w:color w:val="000000"/>
          <w:sz w:val="22"/>
        </w:rPr>
        <w:t xml:space="preserve">(17A)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21">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at the time it adopts a rule that the fiscal impact statement upon which the rule is based contains errors, the board shall, at the same time, issue a corrected fiscal impact statement and publish the corrected fiscal impact statement in the Iowa Administrative Bulletin.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board shall not adopt a rule until the period for making written submissions and oral presentations has expired. Within 180 days after the later of the publication of the Notice of Intended Action, or the end of oral proceedings thereon, the board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board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w:t>
      </w:r>
      <w:r>
        <w:rPr>
          <w:rFonts w:ascii="Times New Roman" w:hAnsi="Times New Roman"/>
          <w:b w:val="false"/>
          <w:i w:val="false"/>
          <w:color w:val="000000"/>
          <w:sz w:val="22"/>
        </w:rPr>
        <w:t> </w:t>
      </w:r>
      <w:r>
        <w:rPr>
          <w:rFonts w:ascii="Times New Roman" w:hAnsi="Times New Roman"/>
          <w:b w:val="false"/>
          <w:i/>
          <w:color w:val="000000"/>
          <w:sz w:val="22"/>
        </w:rPr>
        <w:t xml:space="preserve">Reliance on board expertise. </w:t>
      </w:r>
      <w:r>
        <w:rPr>
          <w:rFonts w:ascii="Times New Roman" w:hAnsi="Times New Roman"/>
          <w:b w:val="false"/>
          <w:i w:val="false"/>
          <w:color w:val="000000"/>
          <w:sz w:val="22"/>
        </w:rPr>
        <w:t>Except as otherwise provided by law, the board may use its own experience, technical competence, specialized knowledge, and judgment in the adoption of a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The board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board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val="false"/>
          <w:color w:val="000000"/>
          <w:sz w:val="22"/>
        </w:rPr>
        <w:t>The board shall commence a rule-making proceeding within 60 days of its receipt of a petition for rule making seeking the amendment or repeal of a rule that differs from the proposed rule contained in the Notice of Intended Action upon which the rule is based, unless the board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board to initiate, concurrently, several different rule-making proceedings on the same subject with several different published Notices of Intended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board for good cause finds that public notice and participation are unnecessary, impracticable, or contrary to the public interest in the process of adopting a particular rule, the board may adopt that rule without publishing advance Notice of Intended Action in the Iowa Administrative Bulletin and without providing for written or oral public submissions prior to its adoption. The board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The following narrowly tailored category of rules is exempted from the usual public notice and participation requirements because those requirements are unnecessary, impracticable, or contrary to the public interest with respect to each and every member of the defined class: rules whose precise content is mandated by either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board may, at any time, commence a standard rule-making proceeding for the adoption of a rule that is identical or similar to a rule it adopts in reliance upon subrule </w:t>
      </w:r>
      <w:hyperlink r:id="rId22">
        <w:r>
          <w:rPr>
            <w:rStyle w:val="Hyperlink"/>
            <w:rFonts w:ascii="Times New Roman" w:hAnsi="Times New Roman"/>
            <w:b w:val="false"/>
            <w:i w:val="false"/>
            <w:color w:val="000000"/>
            <w:sz w:val="22"/>
          </w:rPr>
          <w:t>6.10(1)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board shall commence a standard rule-making proceeding for any rule specified in the petition that was adopted in reliance upon subrule </w:t>
      </w:r>
      <w:hyperlink r:id="rId23">
        <w:r>
          <w:rPr>
            <w:rStyle w:val="Hyperlink"/>
            <w:rFonts w:ascii="Times New Roman" w:hAnsi="Times New Roman"/>
            <w:b w:val="false"/>
            <w:i w:val="false"/>
            <w:color w:val="000000"/>
            <w:sz w:val="22"/>
          </w:rPr>
          <w:t>6.10(1)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board may either readopt the rule it adopted without benefit of all usual procedures on the basis of subrule </w:t>
      </w:r>
      <w:hyperlink r:id="rId24">
        <w:r>
          <w:rPr>
            <w:rStyle w:val="Hyperlink"/>
            <w:rFonts w:ascii="Times New Roman" w:hAnsi="Times New Roman"/>
            <w:b w:val="false"/>
            <w:i w:val="false"/>
            <w:color w:val="000000"/>
            <w:sz w:val="22"/>
          </w:rPr>
          <w:t>6.10(1)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board shall issue a concise statement of reasons for the rule. Requests for such a statement must be in writing and be delivered to Iowa Public Information Board, Wallace State Office Building, 502 East 9th Street, Des Moines, Iowa 50319.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board’s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board shall issue a concise statement of reasons by the later of the time the rule is adopted or 35 days after receipt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board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board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25">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or the board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principal reasons for the failure to provide for waivers to the rule if no waiver provision is included and a brief explanation of any waiver or special exceptions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board may incorporate by reference in a proposed or adopted rule, and without causing publication of the incorporated matter in full, all or any part of a code, standard, rule, or other matter if the board finds that the incorporation of its text in the board proposed or adopted rule would be unduly cumbersome, expensive, or otherwise inexpedient. The reference in the board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board may incorporate such matter by reference in a proposed or adopted rule only if the board makes copies of it readily available to the public. The rule shall state how and where copies of the incorporated matter may be obtained at cost from this board, and how and where copies may be obtained from the agency of the United States, this state, another state, or the organization, association, or persons originally issuing that matter. The board shall retain permanently a copy of any materials incorporated by reference in a rule of the board.</w:t>
      </w:r>
    </w:p>
    <w:p>
      <w:pPr>
        <w:spacing w:before="0" w:after="0"/>
        <w:ind w:left="120"/>
        <w:jc w:val="both"/>
      </w:pPr>
      <w:r>
        <w:rPr>
          <w:rFonts w:ascii="Times New Roman" w:hAnsi="Times New Roman"/>
          <w:b w:val="false"/>
          <w:i w:val="false"/>
          <w:color w:val="000000"/>
          <w:sz w:val="22"/>
        </w:rPr>
        <w:t>If the board adopts standards by reference to another publication, it shall provide a copy of the publication containing the standards to the administrative code editor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board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board. The board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board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board shall follow the uniform numbering system, form, and style prescribed by the administrative rules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board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board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board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board’s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board, and all other written materials of a factual nature as distinguished from opinion that are relevant to the merits of the rule and that were created or compiled by the board and considered by the board, in connection with the formulation, proposal, or adoption of the rule or the proceeding upon which the rule is based, except to the extent the board is authorized by law to keep them confidential; provided, however, that when any such materials are deleted because they are authorized by law to be kept confidential, the board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26">
        <w:r>
          <w:rPr>
            <w:rStyle w:val="Hyperlink"/>
            <w:rFonts w:ascii="Times New Roman" w:hAnsi="Times New Roman"/>
            <w:b w:val="false"/>
            <w:i w:val="false"/>
            <w:color w:val="000000"/>
            <w:sz w:val="22"/>
          </w:rPr>
          <w:t>17A.4(3)</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27">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board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board rule-making record required by this rule need not constitute the exclusive basis for board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board shall maintain the rule-making record for a period of not less than five years from the later of the date the rule to which it pertains became effective, the date of the Notice of Intended Action, or the date of any written criticism as described in </w:t>
      </w:r>
      <w:hyperlink r:id="rId28">
        <w:r>
          <w:rPr>
            <w:rStyle w:val="Hyperlink"/>
            <w:rFonts w:ascii="Times New Roman" w:hAnsi="Times New Roman"/>
            <w:b w:val="false"/>
            <w:i w:val="false"/>
            <w:color w:val="000000"/>
            <w:sz w:val="22"/>
          </w:rPr>
          <w:t>6.13(2)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board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board shall use the standard form prescribed by the administrative rules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board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board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board makes a rule effective prior to its indexing and publication in reliance upon the provisions of Iowa Code section </w:t>
      </w:r>
      <w:hyperlink r:id="rId29">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board shall employ all reasonable efforts to make its contents known to the persons who may be affected by that rule prior to the rule’s indexing and publication. The term “all reasonable efforts” requires the board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board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30">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shall include in that rule a statement describing the reasonable efforts that will be used to comply with the requirements of subrule 6.15(2).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board shall maintain an official, current, and dated compilation that is indexed by subject, containing all of its general statements of policy within the scope of Iowa Code section </w:t>
      </w:r>
      <w:hyperlink r:id="rId31">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“a,” “c,” “f,” “g,” “h,” “k.”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32">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board to the detriment of any person who does not have actual, timely knowledge of the contents of the statement until the requirements of subrule </w:t>
      </w:r>
      <w:hyperlink r:id="rId33">
        <w:r>
          <w:rPr>
            <w:rStyle w:val="Hyperlink"/>
            <w:rFonts w:ascii="Times New Roman" w:hAnsi="Times New Roman"/>
            <w:b w:val="false"/>
            <w:i w:val="false"/>
            <w:color w:val="000000"/>
            <w:sz w:val="22"/>
          </w:rPr>
          <w:t>6.16(1)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497—6.17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agency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board to conduct a formal review of a specified rule. Upon approval of that request by the administrative rules coordinator, the board shall conduct a formal review of a specified rule to determine whether a new rule should be adopted instead or the rule should be amended or repealed. The board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board shall prepare within a reasonable time a written report summarizing its findings, its supporting reasons, and any proposed course of action. The report must include a concise statement of the board’s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board or granted by the board. The report shall describe alternative solutions to resolve the criticisms of the rule, the reasons any were rejected, and any changes made in the rule in response to the criticisms as well as the reasons for the changes. A copy of the board’s report shall be sent to the administrative rules review committee and the administrative rules coordinator. The report must also be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0741C</w:t>
      </w:r>
      <w:r>
        <w:rPr>
          <w:rFonts w:ascii="Times New Roman" w:hAnsi="Times New Roman"/>
          <w:b w:val="false"/>
          <w:i w:val="false"/>
          <w:color w:val="000000"/>
          <w:sz w:val="21"/>
        </w:rPr>
        <w:t xml:space="preserve"> (Notice ARC 0644C, IAB 3/20/13)</w:t>
      </w:r>
      <w:r>
        <w:rPr>
          <w:rFonts w:ascii="Times New Roman" w:hAnsi="Times New Roman"/>
          <w:b w:val="false"/>
          <w:i w:val="false"/>
          <w:color w:val="000000"/>
          <w:sz w:val="21"/>
        </w:rPr>
        <w:t>, IAB 5/15/13, effective 7/1/13]</w:t>
      </w:r>
    </w:p>
    <w:p>
      <w:pPr>
        <w:spacing w:before="0" w:after="0"/>
        <w:ind w:left="120"/>
        <w:jc w:val="center"/>
      </w:pPr>
      <w:r>
        <w:rPr>
          <w:rFonts w:ascii="Times New Roman" w:hAnsi="Times New Roman"/>
          <w:b w:val="false"/>
          <w:i w:val="false"/>
          <w:color w:val="000000"/>
          <w:sz w:val="21"/>
        </w:rPr>
        <w:t>[Filed Without Notice ARC 1091C, IAB 10/16/13, effective 11/20/13]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497.6.12.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17A.4A.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7A.4A.pdf" Type="http://schemas.openxmlformats.org/officeDocument/2006/relationships/hyperlink" Id="rId13"/>
    <Relationship TargetMode="External" Target="https://www.legis.iowa.gov/docs/ico/chapter/17A.4A.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17A.4A.pdf" Type="http://schemas.openxmlformats.org/officeDocument/2006/relationships/hyperlink" Id="rId19"/>
    <Relationship TargetMode="External" Target="https://www.legis.iowa.gov/docs/ico/chapter/17A.4A.pdf" Type="http://schemas.openxmlformats.org/officeDocument/2006/relationships/hyperlink" Id="rId20"/>
    <Relationship TargetMode="External" Target="https://www.legis.iowa.gov/docs/ico/chapter/25B.6.pdf" Type="http://schemas.openxmlformats.org/officeDocument/2006/relationships/hyperlink" Id="rId21"/>
    <Relationship TargetMode="External" Target="https://www.legis.iowa.gov/docs/iac/rule/497.6.10.pdf" Type="http://schemas.openxmlformats.org/officeDocument/2006/relationships/hyperlink" Id="rId22"/>
    <Relationship TargetMode="External" Target="https://www.legis.iowa.gov/docs/iac/rule/497.6.10.pdf" Type="http://schemas.openxmlformats.org/officeDocument/2006/relationships/hyperlink" Id="rId23"/>
    <Relationship TargetMode="External" Target="https://www.legis.iowa.gov/docs/iac/rule/497.6.10.pdf" Type="http://schemas.openxmlformats.org/officeDocument/2006/relationships/hyperlink" Id="rId24"/>
    <Relationship TargetMode="External" Target="https://www.legis.iowa.gov/docs/ico/chapter/17A.4.pdf" Type="http://schemas.openxmlformats.org/officeDocument/2006/relationships/hyperlink" Id="rId25"/>
    <Relationship TargetMode="External" Target="https://www.legis.iowa.gov/docs/ico/chapter/17A.4.pdf" Type="http://schemas.openxmlformats.org/officeDocument/2006/relationships/hyperlink" Id="rId26"/>
    <Relationship TargetMode="External" Target="https://www.legis.iowa.gov/docs/ico/chapter/17A.4.pdf" Type="http://schemas.openxmlformats.org/officeDocument/2006/relationships/hyperlink" Id="rId27"/>
    <Relationship TargetMode="External" Target="https://www.legis.iowa.gov/docs/iac/rule/497.6.13.pdf" Type="http://schemas.openxmlformats.org/officeDocument/2006/relationships/hyperlink" Id="rId28"/>
    <Relationship TargetMode="External" Target="https://www.legis.iowa.gov/docs/ico/chapter/17A.5.pdf" Type="http://schemas.openxmlformats.org/officeDocument/2006/relationships/hyperlink" Id="rId29"/>
    <Relationship TargetMode="External" Target="https://www.legis.iowa.gov/docs/ico/chapter/17A.5.pdf" Type="http://schemas.openxmlformats.org/officeDocument/2006/relationships/hyperlink" Id="rId30"/>
    <Relationship TargetMode="External" Target="https://www.legis.iowa.gov/docs/ico/chapter/17A.2.pdf" Type="http://schemas.openxmlformats.org/officeDocument/2006/relationships/hyperlink" Id="rId31"/>
    <Relationship TargetMode="External" Target="https://www.legis.iowa.gov/docs/ico/chapter/17A.2.pdf" Type="http://schemas.openxmlformats.org/officeDocument/2006/relationships/hyperlink" Id="rId32"/>
    <Relationship TargetMode="External" Target="https://www.legis.iowa.gov/docs/iac/rule/497.6.16.pdf" Type="http://schemas.openxmlformats.org/officeDocument/2006/relationships/hyperlink" Id="rId33"/>
    <Relationship TargetMode="External" Target="https://www.legis.iowa.gov/docs/ico/chapter/17A.4.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