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 xml:space="preserve">Any person or agency may file a petition for rule making with the board at Iowa Public Information Board, Wallace State Office Building, 502 East 9th Street, Des Moines, Iowa 50319. Petitions may also be filed by fax at (515)725-1789 or by email at </w:t>
      </w:r>
      <w:hyperlink r:id="rId5">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 A petition is deemed filed when it is received by the board. The board must provide the petitioner with a file-stamped copy of the petition if the petitioner provides the board an extra copy for this purpose. The petition must be typewritten or legibly handwritten in ink and must substantially conform to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PUBLIC INFORMATION BOARD</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100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Petition by (Name of Petitioner)</w:t>
            </w:r>
            <w:r>
              <w:br/>
            </w:r>
            <w:r>
              <w:rPr>
                <w:rFonts w:ascii="Times New Roman" w:hAnsi="Times New Roman"/>
                <w:b w:val="false"/>
                <w:i w:val="false"/>
                <w:color w:val="000000"/>
                <w:sz w:val="16"/>
              </w:rPr>
              <w:t xml:space="preserve">for the (adoption, amendment, or </w:t>
            </w:r>
            <w:r>
              <w:br/>
            </w:r>
            <w:r>
              <w:rPr>
                <w:rFonts w:ascii="Times New Roman" w:hAnsi="Times New Roman"/>
                <w:b w:val="false"/>
                <w:i w:val="false"/>
                <w:color w:val="000000"/>
                <w:sz w:val="16"/>
              </w:rPr>
              <w:t xml:space="preserve">repeal) of rules relating to </w:t>
            </w:r>
            <w:r>
              <w:br/>
            </w:r>
            <w:r>
              <w:rPr>
                <w:rFonts w:ascii="Times New Roman" w:hAnsi="Times New Roman"/>
                <w:b w:val="false"/>
                <w:i w:val="false"/>
                <w:color w:val="000000"/>
                <w:sz w:val="16"/>
              </w:rPr>
              <w:t>(state subject of matter).</w:t>
            </w:r>
          </w:p>
          <w:p>
            <w:pPr>
              <w:spacing w:before="0" w:after="0"/>
              <w:ind w:left="160"/>
              <w:jc w:val="left"/>
            </w:pPr>
            <w:r>
              <w:rPr>
                <w:rFonts w:ascii="Times New Roman" w:hAnsi="Times New Roman"/>
                <w:b w:val="false"/>
                <w:i w:val="false"/>
                <w:color w:val="000000"/>
                <w:sz w:val="16"/>
              </w:rPr>
              <w:t> </w:t>
            </w:r>
          </w:p>
        </w:tc>
        <w:tc>
          <w:tcPr>
            <w:tcW w:w="559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PETITION FOR </w:t>
            </w:r>
            <w:r>
              <w:br/>
            </w: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amendments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the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rule </w:t>
      </w:r>
      <w:hyperlink r:id="rId6">
        <w:r>
          <w:rPr>
            <w:rStyle w:val="Hyperlink"/>
            <w:rFonts w:ascii="Times New Roman" w:hAnsi="Times New Roman"/>
            <w:b w:val="false"/>
            <w:i w:val="false"/>
            <w:color w:val="000000"/>
            <w:sz w:val="22"/>
          </w:rPr>
          <w:t>497—5.4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email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board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4101C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497—5.2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497—5.3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board at Iowa Public Information Board, Wallace State Office Building, 502 East 9th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497—5.4</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board must submit a copy of the petition and any accompanying brief to the administrative rules coordinator and to the administrative rules review committee. Upon request by petitioner in the petition, the board must schedule a brief and informal meeting between the petitioner and the board, a member of the board, or a member of the staff of the board, to discuss the petition. The board may request the petitioner to submit additional information or argument concerning the petition. The board may also solicit comments from any person on the substance of the petition.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board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board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board’s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2012 Iowa Acts, chapter 1115</w:t>
      </w:r>
      <w:r>
        <w:rPr>
          <w:rFonts w:ascii="Times New Roman" w:hAnsi="Times New Roman"/>
          <w:b w:val="false"/>
          <w:i w:val="false"/>
          <w:color w:val="000000"/>
          <w:sz w:val="22"/>
        </w:rPr>
        <w:t>, section 6.</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p>
      <w:pPr>
        <w:spacing w:before="0" w:after="0"/>
        <w:ind w:left="120"/>
        <w:jc w:val="center"/>
      </w:pPr>
      <w:r>
        <w:rPr>
          <w:rFonts w:ascii="Times New Roman" w:hAnsi="Times New Roman"/>
          <w:b w:val="false"/>
          <w:i w:val="false"/>
          <w:color w:val="000000"/>
          <w:sz w:val="21"/>
        </w:rPr>
        <w:t>[Filed ARC 4101C</w:t>
      </w:r>
      <w:r>
        <w:rPr>
          <w:rFonts w:ascii="Times New Roman" w:hAnsi="Times New Roman"/>
          <w:b w:val="false"/>
          <w:i w:val="false"/>
          <w:color w:val="000000"/>
          <w:sz w:val="21"/>
        </w:rPr>
        <w:t xml:space="preserve"> (Notice ARC 3808C, IAB 5/23/18)</w:t>
      </w:r>
      <w:r>
        <w:rPr>
          <w:rFonts w:ascii="Times New Roman" w:hAnsi="Times New Roman"/>
          <w:b w:val="false"/>
          <w:i w:val="false"/>
          <w:color w:val="000000"/>
          <w:sz w:val="21"/>
        </w:rPr>
        <w:t>, IAB 10/24/18, effective 11/28/18]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ipib@iowa.gov" Type="http://schemas.openxmlformats.org/officeDocument/2006/relationships/hyperlink" Id="rId5"/>
    <Relationship TargetMode="External" Target="https://www.legis.iowa.gov/docs/iac/rule/497.5.4.pdf" Type="http://schemas.openxmlformats.org/officeDocument/2006/relationships/hyperlink" Id="rId6"/>
    <Relationship TargetMode="External" Target="https://www.legis.iowa.gov/docs/ico/chapter/17A.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