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or one or more members of the board, or an administrative law judge assigned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board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board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prosecutor for the board and of the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8">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497—4.5</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ten days after service of a notice of hearing which identifies or describes the presiding officer as the board or one or more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board shall give preference to assigning an administrative law judge if requested by a party and may deny the request only upon a finding that two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member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ten days after a request for an administrative law judge is filed. If the ruling is contingent upon the availability of a qualified administrative law judge,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assigned to act as presiding officer in contested cases involving open meetings or public records laws shall have knowledge of or experience with Iowa Code chapters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unless waived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board.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board, when reviewing a proposed decision upon intra-agency appeal,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497—4.6</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497—4.7</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497—4.8</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1">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1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3">
        <w:r>
          <w:rPr>
            <w:rStyle w:val="Hyperlink"/>
            <w:rFonts w:ascii="Times New Roman" w:hAnsi="Times New Roman"/>
            <w:b w:val="false"/>
            <w:i w:val="false"/>
            <w:color w:val="000000"/>
            <w:sz w:val="22"/>
          </w:rPr>
          <w:t>497—4.24</w:t>
        </w:r>
      </w:hyperlink>
      <w:r>
        <w:rPr>
          <w:rFonts w:ascii="Times New Roman" w:hAnsi="Times New Roman"/>
          <w:b w:val="false"/>
          <w:i w:val="false"/>
          <w:color w:val="000000"/>
          <w:sz w:val="22"/>
        </w:rPr>
        <w:t xml:space="preserve">(17A) and seek a stay under rule </w:t>
      </w:r>
      <w:hyperlink r:id="rId14">
        <w:r>
          <w:rPr>
            <w:rStyle w:val="Hyperlink"/>
            <w:rFonts w:ascii="Times New Roman" w:hAnsi="Times New Roman"/>
            <w:b w:val="false"/>
            <w:i w:val="false"/>
            <w:color w:val="000000"/>
            <w:sz w:val="22"/>
          </w:rPr>
          <w:t>497—4.28</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497—4.9</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497—4.10</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497—4.11</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1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board at Iowa Public Information Board, Wallace State Office Building, 502 East 9th Street, Des Moines, Iowa 50319. All pleadings, motions, documents or other papers that are required to be served upon a party shall be filed simultaneously with the Iowa public information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office,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497—4.12</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4.12(1).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497—4.13</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497—4.14</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the Iowa Rules of Civil Procedure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30 days prior to the scheduled hearing date, or other time period determined by the presiding officer. Any party resisting the motion shall file and serve a resistance within 10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16">
        <w:r>
          <w:rPr>
            <w:rStyle w:val="Hyperlink"/>
            <w:rFonts w:ascii="Times New Roman" w:hAnsi="Times New Roman"/>
            <w:b w:val="false"/>
            <w:i w:val="false"/>
            <w:color w:val="000000"/>
            <w:sz w:val="22"/>
          </w:rPr>
          <w:t>497—4.27</w:t>
        </w:r>
      </w:hyperlink>
      <w:r>
        <w:rPr>
          <w:rFonts w:ascii="Times New Roman" w:hAnsi="Times New Roman"/>
          <w:b w:val="false"/>
          <w:i w:val="false"/>
          <w:color w:val="000000"/>
          <w:sz w:val="22"/>
        </w:rPr>
        <w:t xml:space="preserve">(17A) and appeal pursuant to rule </w:t>
      </w:r>
      <w:hyperlink r:id="rId17">
        <w:r>
          <w:rPr>
            <w:rStyle w:val="Hyperlink"/>
            <w:rFonts w:ascii="Times New Roman" w:hAnsi="Times New Roman"/>
            <w:b w:val="false"/>
            <w:i w:val="false"/>
            <w:color w:val="000000"/>
            <w:sz w:val="22"/>
          </w:rPr>
          <w:t>497—4.26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497—4.15</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board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of subrule 4.15(2),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497—4.16</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497—4.17</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6675C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11/16/22</w:t>
      </w:r>
      <w:r>
        <w:rPr>
          <w:rFonts w:ascii="Times New Roman" w:hAnsi="Times New Roman"/>
          <w:b w:val="false"/>
          <w:i w:val="false"/>
          <w:color w:val="000000"/>
          <w:sz w:val="22"/>
        </w:rPr>
        <w:t xml:space="preserve">, effective 12/21/22. </w:t>
      </w:r>
    </w:p>
    <w:p>
      <w:pPr>
        <w:spacing w:before="0" w:after="0"/>
        <w:ind w:left="120"/>
        <w:jc w:val="both"/>
      </w:pPr>
      <w:r>
        <w:rPr>
          <w:rFonts w:ascii="Times New Roman" w:hAnsi="Times New Roman"/>
          <w:b/>
          <w:i w:val="false"/>
          <w:color w:val="000000"/>
          <w:sz w:val="22"/>
        </w:rPr>
        <w:t>497—4.18</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ten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497—4.19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18">
        <w:r>
          <w:rPr>
            <w:rStyle w:val="Hyperlink"/>
            <w:rFonts w:ascii="Times New Roman" w:hAnsi="Times New Roman"/>
            <w:b w:val="false"/>
            <w:i w:val="false"/>
            <w:color w:val="000000"/>
            <w:sz w:val="22"/>
          </w:rPr>
          <w:t>497—4.26</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shall have the same meaning as “good cause” for setting aside a default judgment under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19">
        <w:r>
          <w:rPr>
            <w:rStyle w:val="Hyperlink"/>
            <w:rFonts w:ascii="Times New Roman" w:hAnsi="Times New Roman"/>
            <w:b w:val="false"/>
            <w:i w:val="false"/>
            <w:color w:val="000000"/>
            <w:sz w:val="22"/>
          </w:rPr>
          <w:t>497—4.24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0">
        <w:r>
          <w:rPr>
            <w:rStyle w:val="Hyperlink"/>
            <w:rFonts w:ascii="Times New Roman" w:hAnsi="Times New Roman"/>
            <w:b w:val="false"/>
            <w:i w:val="false"/>
            <w:color w:val="000000"/>
            <w:sz w:val="22"/>
          </w:rPr>
          <w:t>497—4.28</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subrule 4.8(2),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1">
        <w:r>
          <w:rPr>
            <w:rStyle w:val="Hyperlink"/>
            <w:rFonts w:ascii="Times New Roman" w:hAnsi="Times New Roman"/>
            <w:b w:val="false"/>
            <w:i w:val="false"/>
            <w:color w:val="000000"/>
            <w:sz w:val="22"/>
          </w:rPr>
          <w:t>497—4.11</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22">
        <w:r>
          <w:rPr>
            <w:rStyle w:val="Hyperlink"/>
            <w:rFonts w:ascii="Times New Roman" w:hAnsi="Times New Roman"/>
            <w:b w:val="false"/>
            <w:i w:val="false"/>
            <w:color w:val="000000"/>
            <w:sz w:val="22"/>
          </w:rPr>
          <w:t>4.22(1)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23">
        <w:r>
          <w:rPr>
            <w:rStyle w:val="Hyperlink"/>
            <w:rFonts w:ascii="Times New Roman" w:hAnsi="Times New Roman"/>
            <w:b w:val="false"/>
            <w:i w:val="false"/>
            <w:color w:val="000000"/>
            <w:sz w:val="22"/>
          </w:rPr>
          <w:t>497—4.16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4">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prohibitions by agency personnel shall be reported to the executive director or the individual designated by the executive director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presiding officer. In determining whether to do so, the board shall weigh the extent to which its granting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497—4.25</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When the board, or a quorum of the board,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or a quorum of the board, does not preside at the reception of evidence, the presiding officer shall make a proposed decision. The proposed decision becomes the final decision of the agency without further proceedings unless there is an appeal to, or review on motion of, the board within the time provided in rule </w:t>
      </w:r>
      <w:hyperlink r:id="rId25">
        <w:r>
          <w:rPr>
            <w:rStyle w:val="Hyperlink"/>
            <w:rFonts w:ascii="Times New Roman" w:hAnsi="Times New Roman"/>
            <w:b w:val="false"/>
            <w:i w:val="false"/>
            <w:color w:val="000000"/>
            <w:sz w:val="22"/>
          </w:rPr>
          <w:t>497—4.26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497—4.26</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497—4.27</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subrule 4.26(4),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board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497—4.28</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shall state the reasons justifying a stay or other temporary remedy. The board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 A party must petition the board for a stay before seeking a stay in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the board shall consider the factors listed in Iowa Code section </w:t>
      </w:r>
      <w:hyperlink r:id="rId26">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any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497—4.29</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2012 Iowa Acts, chapter 1115</w:t>
      </w:r>
      <w:r>
        <w:rPr>
          <w:rFonts w:ascii="Times New Roman" w:hAnsi="Times New Roman"/>
          <w:b w:val="false"/>
          <w:i w:val="false"/>
          <w:color w:val="000000"/>
          <w:sz w:val="22"/>
        </w:rPr>
        <w:t>, section 6.</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p>
      <w:pPr>
        <w:spacing w:before="0" w:after="0"/>
        <w:ind w:left="120"/>
        <w:jc w:val="center"/>
      </w:pPr>
      <w:r>
        <w:rPr>
          <w:rFonts w:ascii="Times New Roman" w:hAnsi="Times New Roman"/>
          <w:b w:val="false"/>
          <w:i w:val="false"/>
          <w:color w:val="000000"/>
          <w:sz w:val="21"/>
        </w:rPr>
        <w:t>[Filed ARC 6675C</w:t>
      </w:r>
      <w:r>
        <w:rPr>
          <w:rFonts w:ascii="Times New Roman" w:hAnsi="Times New Roman"/>
          <w:b w:val="false"/>
          <w:i w:val="false"/>
          <w:color w:val="000000"/>
          <w:sz w:val="21"/>
        </w:rPr>
        <w:t xml:space="preserve"> (Notice ARC 6540C, IAB 9/21/22)</w:t>
      </w:r>
      <w:r>
        <w:rPr>
          <w:rFonts w:ascii="Times New Roman" w:hAnsi="Times New Roman"/>
          <w:b w:val="false"/>
          <w:i w:val="false"/>
          <w:color w:val="000000"/>
          <w:sz w:val="21"/>
        </w:rPr>
        <w:t>, IAB 11/16/22, effective 12/21/22]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7A.1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17A.17.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497.4.24.pdf" Type="http://schemas.openxmlformats.org/officeDocument/2006/relationships/hyperlink" Id="rId13"/>
    <Relationship TargetMode="External" Target="https://www.legis.iowa.gov/docs/iac/rule/497.4.28.pdf" Type="http://schemas.openxmlformats.org/officeDocument/2006/relationships/hyperlink" Id="rId14"/>
    <Relationship TargetMode="External" Target="https://www.legis.iowa.gov/docs/ico/chapter/17A.16.pdf" Type="http://schemas.openxmlformats.org/officeDocument/2006/relationships/hyperlink" Id="rId15"/>
    <Relationship TargetMode="External" Target="https://www.legis.iowa.gov/docs/iac/rule/497.4.27.pdf" Type="http://schemas.openxmlformats.org/officeDocument/2006/relationships/hyperlink" Id="rId16"/>
    <Relationship TargetMode="External" Target="https://www.legis.iowa.gov/docs/iac/rule/497.4.26.pdf" Type="http://schemas.openxmlformats.org/officeDocument/2006/relationships/hyperlink" Id="rId17"/>
    <Relationship TargetMode="External" Target="https://www.legis.iowa.gov/docs/iac/rule/497.4.26.pdf" Type="http://schemas.openxmlformats.org/officeDocument/2006/relationships/hyperlink" Id="rId18"/>
    <Relationship TargetMode="External" Target="https://www.legis.iowa.gov/docs/iac/rule/497.4.24.pdf" Type="http://schemas.openxmlformats.org/officeDocument/2006/relationships/hyperlink" Id="rId19"/>
    <Relationship TargetMode="External" Target="https://www.legis.iowa.gov/docs/iac/rule/497.4.28.pdf" Type="http://schemas.openxmlformats.org/officeDocument/2006/relationships/hyperlink" Id="rId20"/>
    <Relationship TargetMode="External" Target="https://www.legis.iowa.gov/docs/iac/rule/497.4.11.pdf" Type="http://schemas.openxmlformats.org/officeDocument/2006/relationships/hyperlink" Id="rId21"/>
    <Relationship TargetMode="External" Target="https://www.legis.iowa.gov/docs/iac/rule/497.4.22.pdf" Type="http://schemas.openxmlformats.org/officeDocument/2006/relationships/hyperlink" Id="rId22"/>
    <Relationship TargetMode="External" Target="https://www.legis.iowa.gov/docs/iac/rule/497.4.16.pdf" Type="http://schemas.openxmlformats.org/officeDocument/2006/relationships/hyperlink" Id="rId23"/>
    <Relationship TargetMode="External" Target="https://www.legis.iowa.gov/docs/ico/chapter/17A.13.pdf" Type="http://schemas.openxmlformats.org/officeDocument/2006/relationships/hyperlink" Id="rId24"/>
    <Relationship TargetMode="External" Target="https://www.legis.iowa.gov/docs/iac/rule/497.4.26.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7A.12.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