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UNIFORM WAIVER RULES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9/24/30</w:t>
      </w:r>
    </w:p>
    <w:p>
      <w:pPr>
        <w:spacing w:before="0" w:after="0"/>
        <w:ind w:left="120"/>
        <w:jc w:val="both"/>
      </w:pPr>
      <w:r>
        <w:rPr>
          <w:rFonts w:ascii="Times New Roman" w:hAnsi="Times New Roman"/>
          <w:b/>
          <w:i w:val="false"/>
          <w:color w:val="000000"/>
          <w:sz w:val="22"/>
        </w:rPr>
        <w:t>493—6.1</w:t>
      </w:r>
      <w:r>
        <w:rPr>
          <w:rFonts w:ascii="Times New Roman" w:hAnsi="Times New Roman"/>
          <w:b/>
          <w:i w:val="false"/>
          <w:color w:val="000000"/>
          <w:sz w:val="22"/>
        </w:rPr>
        <w:t xml:space="preserve">(13B,17A)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outlines a uniform process for the granting of waivers from rules adopted by the state public defender. The intent of this chapter is to allow persons to seek exceptions to the application of rules issued by the state public defender.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9505C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493—6.2</w:t>
      </w:r>
      <w:r>
        <w:rPr>
          <w:rFonts w:ascii="Times New Roman" w:hAnsi="Times New Roman"/>
          <w:b/>
          <w:i w:val="false"/>
          <w:color w:val="000000"/>
          <w:sz w:val="22"/>
        </w:rPr>
        <w:t xml:space="preserve">(13B,17A) </w:t>
      </w:r>
      <w:r>
        <w:rPr>
          <w:rFonts w:ascii="Times New Roman" w:hAnsi="Times New Roman"/>
          <w:b/>
          <w:i w:val="false"/>
          <w:color w:val="000000"/>
          <w:sz w:val="22"/>
        </w:rPr>
        <w:t xml:space="preserve">Interpretive rules. </w:t>
      </w:r>
      <w:r>
        <w:rPr>
          <w:rFonts w:ascii="Times New Roman" w:hAnsi="Times New Roman"/>
          <w:b w:val="false"/>
          <w:i w:val="false"/>
          <w:color w:val="000000"/>
          <w:sz w:val="22"/>
        </w:rPr>
        <w:t>This chapter shall not apply to rules that merely define the meaning of a statute or other provision of law or precedent if the state public defender does not possess delegated authority to bind the courts to any extent with its definition.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9505C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493—6.3</w:t>
      </w:r>
      <w:r>
        <w:rPr>
          <w:rFonts w:ascii="Times New Roman" w:hAnsi="Times New Roman"/>
          <w:b/>
          <w:i w:val="false"/>
          <w:color w:val="000000"/>
          <w:sz w:val="22"/>
        </w:rPr>
        <w:t xml:space="preserve">(13B,17A) </w:t>
      </w:r>
      <w:r>
        <w:rPr>
          <w:rFonts w:ascii="Times New Roman" w:hAnsi="Times New Roman"/>
          <w:b/>
          <w:i w:val="false"/>
          <w:color w:val="000000"/>
          <w:sz w:val="22"/>
        </w:rPr>
        <w:t xml:space="preserve">Compliance with statute. </w:t>
      </w:r>
      <w:r>
        <w:rPr>
          <w:rFonts w:ascii="Times New Roman" w:hAnsi="Times New Roman"/>
          <w:b w:val="false"/>
          <w:i w:val="false"/>
          <w:color w:val="000000"/>
          <w:sz w:val="22"/>
        </w:rPr>
        <w:t>The state public defender shall not grant a petition for waiver from a rule unless a statute or other provision of law has delegated authority to the state public defender sufficient to justify that action and the waiver is consistent with the statute or other provision of law. No waiver may be granted from a requirement that is imposed by statute unless the statute itself specifically authorizes that action. Any waiver must be consistent with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9505C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493—6.4</w:t>
      </w:r>
      <w:r>
        <w:rPr>
          <w:rFonts w:ascii="Times New Roman" w:hAnsi="Times New Roman"/>
          <w:b/>
          <w:i w:val="false"/>
          <w:color w:val="000000"/>
          <w:sz w:val="22"/>
        </w:rPr>
        <w:t xml:space="preserve">(13B,17A)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At the sole discretion of the state public defender, the state public defender may issue an order, in response to a completed petition, granting a waiver from a rule adopted by the state public defender, in whole or in part, as applied to the circumstances of a specified person or a specific and narrowly drawn class of persons if the state public defender finds based on clear and convincing evidence that: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rule to the petitioner would pose an undue hardship on the person or class of persons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val="false"/>
          <w:color w:val="000000"/>
          <w:sz w:val="22"/>
        </w:rPr>
        <w:t>The waiver from the requirements of a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w:t>
      </w:r>
      <w:r>
        <w:rPr>
          <w:rFonts w:ascii="Times New Roman" w:hAnsi="Times New Roman"/>
          <w:b w:val="false"/>
          <w:i w:val="false"/>
          <w:color w:val="000000"/>
          <w:sz w:val="22"/>
        </w:rPr>
        <w:t> </w:t>
      </w:r>
      <w:r>
        <w:rPr>
          <w:rFonts w:ascii="Times New Roman" w:hAnsi="Times New Roman"/>
          <w:b w:val="false"/>
          <w:i w:val="false"/>
          <w:color w:val="000000"/>
          <w:sz w:val="22"/>
        </w:rPr>
        <w:t>The provisions of a rule subject to a petition for a waiver are not specifically mandated by statute or another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w:t>
      </w:r>
      <w:r>
        <w:rPr>
          <w:rFonts w:ascii="Times New Roman" w:hAnsi="Times New Roman"/>
          <w:b w:val="false"/>
          <w:i w:val="false"/>
          <w:color w:val="000000"/>
          <w:sz w:val="22"/>
        </w:rPr>
        <w:t>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9505C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493—6.5</w:t>
      </w:r>
      <w:r>
        <w:rPr>
          <w:rFonts w:ascii="Times New Roman" w:hAnsi="Times New Roman"/>
          <w:b/>
          <w:i w:val="false"/>
          <w:color w:val="000000"/>
          <w:sz w:val="22"/>
        </w:rPr>
        <w:t xml:space="preserve">(13B,17A)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 petition for a waiver must be submitted in writing to the State Public Defender, 6200 Park Avenue, Suite 100, Des Moines, Iowa 50321. If the petition relates to a pending contested case, the petition shall also be filed in the contested case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9505C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493—6.6</w:t>
      </w:r>
      <w:r>
        <w:rPr>
          <w:rFonts w:ascii="Times New Roman" w:hAnsi="Times New Roman"/>
          <w:b/>
          <w:i w:val="false"/>
          <w:color w:val="000000"/>
          <w:sz w:val="22"/>
        </w:rPr>
        <w:t xml:space="preserve">(13B,17A)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entity or person for whom a waiver is being requested and the case number of any related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w:t>
      </w:r>
      <w:r>
        <w:rPr>
          <w:rFonts w:ascii="Times New Roman" w:hAnsi="Times New Roman"/>
          <w:b w:val="false"/>
          <w:i w:val="false"/>
          <w:color w:val="000000"/>
          <w:sz w:val="22"/>
        </w:rPr>
        <w:t>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the precise scope and operative period that the waiver will extend.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w:t>
      </w:r>
      <w:r>
        <w:rPr>
          <w:rFonts w:ascii="Times New Roman" w:hAnsi="Times New Roman"/>
          <w:b w:val="false"/>
          <w:i w:val="false"/>
          <w:color w:val="000000"/>
          <w:sz w:val="22"/>
        </w:rPr>
        <w:t> </w:t>
      </w:r>
      <w:r>
        <w:rPr>
          <w:rFonts w:ascii="Times New Roman" w:hAnsi="Times New Roman"/>
          <w:b w:val="false"/>
          <w:i w:val="false"/>
          <w:color w:val="000000"/>
          <w:sz w:val="22"/>
        </w:rPr>
        <w:t>The relevant facts that the petitioner believes would justify a waiver.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6.6(5)</w:t>
      </w:r>
      <w:r>
        <w:rPr>
          <w:rFonts w:ascii="Times New Roman" w:hAnsi="Times New Roman"/>
          <w:b w:val="false"/>
          <w:i w:val="false"/>
          <w:color w:val="000000"/>
          <w:sz w:val="22"/>
        </w:rPr>
        <w:t> </w:t>
      </w:r>
      <w:r>
        <w:rPr>
          <w:rFonts w:ascii="Times New Roman" w:hAnsi="Times New Roman"/>
          <w:b w:val="false"/>
          <w:i w:val="false"/>
          <w:color w:val="000000"/>
          <w:sz w:val="22"/>
        </w:rPr>
        <w:t>A history of any prior contacts between the state public defender and the petitioner relating to the regulated activity, representation or other assigned function of the state public defender that would be affected by the proposed waiver, including a description of each regulated activity, representation or other assigned function of the state public defender, any notices of violation, contested case hearings, or investigative reports relating to the regulated activity, representation or other assigned function of the state public defender within the last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6.6(6)</w:t>
      </w:r>
      <w:r>
        <w:rPr>
          <w:rFonts w:ascii="Times New Roman" w:hAnsi="Times New Roman"/>
          <w:b w:val="false"/>
          <w:i w:val="false"/>
          <w:color w:val="000000"/>
          <w:sz w:val="22"/>
        </w:rPr>
        <w:t> </w:t>
      </w:r>
      <w:r>
        <w:rPr>
          <w:rFonts w:ascii="Times New Roman" w:hAnsi="Times New Roman"/>
          <w:b w:val="false"/>
          <w:i w:val="false"/>
          <w:color w:val="000000"/>
          <w:sz w:val="22"/>
        </w:rPr>
        <w:t>Any information known to the requester regarding the state public defender’s treatment of similar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public agency or political subdivision that also regulates the activity in question or that might be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6.6(8)</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or entity that would be adversely affected by the granting of a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6.6(9)</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6.6(10)</w:t>
      </w:r>
      <w:r>
        <w:rPr>
          <w:rFonts w:ascii="Times New Roman" w:hAnsi="Times New Roman"/>
          <w:b w:val="false"/>
          <w:i w:val="false"/>
          <w:color w:val="000000"/>
          <w:sz w:val="22"/>
        </w:rPr>
        <w:t> </w:t>
      </w:r>
      <w:r>
        <w:rPr>
          <w:rFonts w:ascii="Times New Roman" w:hAnsi="Times New Roman"/>
          <w:b w:val="false"/>
          <w:i w:val="false"/>
          <w:color w:val="000000"/>
          <w:sz w:val="22"/>
        </w:rPr>
        <w:t>Signed releases of information authorizing persons with knowledge regarding the request to furnish the state public defender with information relevant to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9505C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493—6.7</w:t>
      </w:r>
      <w:r>
        <w:rPr>
          <w:rFonts w:ascii="Times New Roman" w:hAnsi="Times New Roman"/>
          <w:b/>
          <w:i w:val="false"/>
          <w:color w:val="000000"/>
          <w:sz w:val="22"/>
        </w:rPr>
        <w:t xml:space="preserve">(13B,17A)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Prior to issuing an order granting or denying a waiver, the state public defender may request additional information from the petitioner relative to the petition and surrounding circumstances. If the petition was not filed in a contested case, the state public defender may, on its own motion or at the petitioner’s request, schedule a telephonic or in-person meeting between the petitioner and the state public defender or state public defender’s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9505C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493—6.8</w:t>
      </w:r>
      <w:r>
        <w:rPr>
          <w:rFonts w:ascii="Times New Roman" w:hAnsi="Times New Roman"/>
          <w:b/>
          <w:i w:val="false"/>
          <w:color w:val="000000"/>
          <w:sz w:val="22"/>
        </w:rPr>
        <w:t xml:space="preserve">(13B,17A) </w:t>
      </w:r>
      <w:r>
        <w:rPr>
          <w:rFonts w:ascii="Times New Roman" w:hAnsi="Times New Roman"/>
          <w:b/>
          <w:i w:val="false"/>
          <w:color w:val="000000"/>
          <w:sz w:val="22"/>
        </w:rPr>
        <w:t xml:space="preserve">Notice. </w:t>
      </w:r>
      <w:r>
        <w:rPr>
          <w:rFonts w:ascii="Times New Roman" w:hAnsi="Times New Roman"/>
          <w:b w:val="false"/>
          <w:i w:val="false"/>
          <w:color w:val="000000"/>
          <w:sz w:val="22"/>
        </w:rPr>
        <w:t>The state public defender shall acknowledge a petition upon receipt. The state public defender shall ensure that, within 30 days of the receipt of the petition, notice of the pendency of the petition and a concise summary of its contents have been provided to all persons to whom notice is required by any provision of law. In addition, the state public defender may give notice to other persons. To accomplish this notice provision, the state public defender may require the petitioner to serve the notice on all persons to whom notice is required by any provision of law and provide a written statement to the state public defender attesting that notice has been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9505C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493—6.9</w:t>
      </w:r>
      <w:r>
        <w:rPr>
          <w:rFonts w:ascii="Times New Roman" w:hAnsi="Times New Roman"/>
          <w:b/>
          <w:i w:val="false"/>
          <w:color w:val="000000"/>
          <w:sz w:val="22"/>
        </w:rPr>
        <w:t xml:space="preserve">(13B,17A)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5">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regarding contested case hearings shall apply to any petition for a waiver of a rule filed within a contested case and shall otherwise apply to agency proceedings for a waiver only when the state public defender so provides by rule or order or is required to do so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9505C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493—6.10</w:t>
      </w:r>
      <w:r>
        <w:rPr>
          <w:rFonts w:ascii="Times New Roman" w:hAnsi="Times New Roman"/>
          <w:b/>
          <w:i w:val="false"/>
          <w:color w:val="000000"/>
          <w:sz w:val="22"/>
        </w:rPr>
        <w:t xml:space="preserve">(13B,17A)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reasons upon which the action is based, and a description of the precise scope and operative period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w:t>
      </w:r>
      <w:r>
        <w:rPr>
          <w:rFonts w:ascii="Times New Roman" w:hAnsi="Times New Roman"/>
          <w:b w:val="false"/>
          <w:i w:val="false"/>
          <w:color w:val="000000"/>
          <w:sz w:val="22"/>
        </w:rPr>
        <w:t> </w:t>
      </w:r>
      <w:r>
        <w:rPr>
          <w:rFonts w:ascii="Times New Roman" w:hAnsi="Times New Roman"/>
          <w:b w:val="false"/>
          <w:i/>
          <w:color w:val="000000"/>
          <w:sz w:val="22"/>
        </w:rPr>
        <w:t xml:space="preserve">State public defender discretion. </w:t>
      </w:r>
      <w:r>
        <w:rPr>
          <w:rFonts w:ascii="Times New Roman" w:hAnsi="Times New Roman"/>
          <w:b w:val="false"/>
          <w:i w:val="false"/>
          <w:color w:val="000000"/>
          <w:sz w:val="22"/>
        </w:rPr>
        <w:t>The decision on whether the circumstances justify the granting of a waiver shall be made at the discretion of the state public defender upon consideration of all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6.10(2)</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petitioner has the burden of persuasion when a petition is filed for a waiver from a state public defender rule. The standard of proof is clear and convincing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6.10(3)</w:t>
      </w:r>
      <w:r>
        <w:rPr>
          <w:rFonts w:ascii="Times New Roman" w:hAnsi="Times New Roman"/>
          <w:b w:val="false"/>
          <w:i w:val="false"/>
          <w:color w:val="000000"/>
          <w:sz w:val="22"/>
        </w:rPr>
        <w:t> </w:t>
      </w:r>
      <w:r>
        <w:rPr>
          <w:rFonts w:ascii="Times New Roman" w:hAnsi="Times New Roman"/>
          <w:b w:val="false"/>
          <w:i/>
          <w:color w:val="000000"/>
          <w:sz w:val="22"/>
        </w:rPr>
        <w:t xml:space="preserve">Special waiver rules not precluded. </w:t>
      </w:r>
      <w:r>
        <w:rPr>
          <w:rFonts w:ascii="Times New Roman" w:hAnsi="Times New Roman"/>
          <w:b w:val="false"/>
          <w:i w:val="false"/>
          <w:color w:val="000000"/>
          <w:sz w:val="22"/>
        </w:rPr>
        <w:t>This chapter shall not preclude the state public defender from granting waivers in other contexts or on the basis of other standards if a statute authorizes the state public defender to do so and the state public defender deems it appropriate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state public defender shall balance the special individual circumstances of the petitioner with the overall goal of uniform treatment of all persons similarly situated.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6.10(5)</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state public defender may condition the granting of the waiver on such reasonable conditions as appropriate to achieve the objectives of the particular rule in question through alternative means and in compliance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petition for a waiver shall be evaluated by the state public defender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waiver, if granted, shall be drafted by the state public defender so as to provide the narrowest exception possible to the provisions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 public defender may place on a waiver a condition that the state public defender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waiver shall not be permanent unless the petitioner can show that a temporary waiver would be impracticable;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temporary waiver is granted, there is no automatic right to renewal. At the sole discretion of the state public defender, a waiver may be renewed if the state public defender finds that all of the factors set out in rule </w:t>
      </w:r>
      <w:hyperlink r:id="rId7">
        <w:r>
          <w:rPr>
            <w:rStyle w:val="Hyperlink"/>
            <w:rFonts w:ascii="Times New Roman" w:hAnsi="Times New Roman"/>
            <w:b w:val="false"/>
            <w:i w:val="false"/>
            <w:color w:val="000000"/>
            <w:sz w:val="22"/>
          </w:rPr>
          <w:t>493—6.4</w:t>
        </w:r>
      </w:hyperlink>
      <w:r>
        <w:rPr>
          <w:rFonts w:ascii="Times New Roman" w:hAnsi="Times New Roman"/>
          <w:b w:val="false"/>
          <w:i w:val="false"/>
          <w:color w:val="000000"/>
          <w:sz w:val="22"/>
        </w:rPr>
        <w:t>(13B,17A) remain 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6.10(6)</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state public defender shall grant or deny a petition for a waiver as soon as practicable but, in any event, shall do so within 120 days of its receipt unless the petitioner agrees to a later date. However, if a petition is filed in a contested case, the state public defender has the discretion to wait until the contested case is resolved before entering an order on the petition for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6.10(7)</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state public defender to grant or deny a petition within the required time period shall be deemed a denial of that petition by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6.10(8)</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shall be transmitted to the petitioner or the person to whom the order pertains and to any other person entitled to such notice by any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9505C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493—6.11</w:t>
      </w:r>
      <w:r>
        <w:rPr>
          <w:rFonts w:ascii="Times New Roman" w:hAnsi="Times New Roman"/>
          <w:b/>
          <w:i w:val="false"/>
          <w:color w:val="000000"/>
          <w:sz w:val="22"/>
        </w:rPr>
        <w:t xml:space="preserve">(13B,17A)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Subject to the provisions of Iowa Code section </w:t>
      </w:r>
      <w:hyperlink r:id="rId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the state public defender shall maintain a record of all orders granting or denying waivers under this chapter. All final rulings in response to requests for waivers shall be indexed and available to members of the public at the state public defender’s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9505C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493—6.12</w:t>
      </w:r>
      <w:r>
        <w:rPr>
          <w:rFonts w:ascii="Times New Roman" w:hAnsi="Times New Roman"/>
          <w:b/>
          <w:i w:val="false"/>
          <w:color w:val="000000"/>
          <w:sz w:val="22"/>
        </w:rPr>
        <w:t xml:space="preserve">(13B,17A) </w:t>
      </w:r>
      <w:r>
        <w:rPr>
          <w:rFonts w:ascii="Times New Roman" w:hAnsi="Times New Roman"/>
          <w:b/>
          <w:i w:val="false"/>
          <w:color w:val="000000"/>
          <w:sz w:val="22"/>
        </w:rPr>
        <w:t xml:space="preserve">Voiding or cancellation. </w:t>
      </w:r>
      <w:r>
        <w:rPr>
          <w:rFonts w:ascii="Times New Roman" w:hAnsi="Times New Roman"/>
          <w:b w:val="false"/>
          <w:i w:val="false"/>
          <w:color w:val="000000"/>
          <w:sz w:val="22"/>
        </w:rPr>
        <w:t>A waiver is void if the material facts upon which the request is based are not true or if material facts have been withheld. The state public defender may at any time cancel a waiver upon appropriate notice and hearing if the state public defender finds that the facts as stated in the request are not true, material facts have been withheld, the alternative means of compliance provided in the waiver have failed to achieve the objectives of the statute, or the requester has failed to comply with the conditions of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9505C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493—6.13</w:t>
      </w:r>
      <w:r>
        <w:rPr>
          <w:rFonts w:ascii="Times New Roman" w:hAnsi="Times New Roman"/>
          <w:b/>
          <w:i w:val="false"/>
          <w:color w:val="000000"/>
          <w:sz w:val="22"/>
        </w:rPr>
        <w:t xml:space="preserve">(13B,17A)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conditions in the waiver approval is the equivalent of violation of the particular rule for which the waiver is granted and is subject to the same remedies or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9505C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493—6.14</w:t>
      </w:r>
      <w:r>
        <w:rPr>
          <w:rFonts w:ascii="Times New Roman" w:hAnsi="Times New Roman"/>
          <w:b/>
          <w:i w:val="false"/>
          <w:color w:val="000000"/>
          <w:sz w:val="22"/>
        </w:rPr>
        <w:t xml:space="preserve">(13B,17A)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state public defender issues an order granting a waiver, the order is a defense within its terms and the specific facts indicated therein for the person to whom the order pertains in any proceeding in which the rule in question is sought to be invoked.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9505C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493—6.15</w:t>
      </w:r>
      <w:r>
        <w:rPr>
          <w:rFonts w:ascii="Times New Roman" w:hAnsi="Times New Roman"/>
          <w:b/>
          <w:i w:val="false"/>
          <w:color w:val="000000"/>
          <w:sz w:val="22"/>
        </w:rPr>
        <w:t xml:space="preserve">(13B,17A)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Any request for an appeal from a decision granting or denying a waiver shall be in accordance with the procedures provided in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state public defender rules. An appeal shall be taken within 30 days of the issuance of the ruling in response to the request unless a contrary time is provided by rule or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9505C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493—6.16</w:t>
      </w:r>
      <w:r>
        <w:rPr>
          <w:rFonts w:ascii="Times New Roman" w:hAnsi="Times New Roman"/>
          <w:b/>
          <w:i w:val="false"/>
          <w:color w:val="000000"/>
          <w:sz w:val="22"/>
        </w:rPr>
        <w:t xml:space="preserve">(13B,17A) </w:t>
      </w:r>
      <w:r>
        <w:rPr>
          <w:rFonts w:ascii="Times New Roman" w:hAnsi="Times New Roman"/>
          <w:b/>
          <w:i w:val="false"/>
          <w:color w:val="000000"/>
          <w:sz w:val="22"/>
        </w:rPr>
        <w:t xml:space="preserve">Sample petition for waiver. </w:t>
      </w:r>
    </w:p>
    <w:tbl>
      <w:tblPr>
        <w:tblW w:w="0" w:type="auto"/>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37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BEFORE THE STATE PUBLIC DEFENDER</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20"/>
              </w:rPr>
              <w:t>Petition by (insert name of petitioner)</w:t>
            </w:r>
          </w:p>
          <w:p>
            <w:pPr>
              <w:spacing w:before="0" w:after="0"/>
              <w:ind w:left="160"/>
              <w:jc w:val="left"/>
            </w:pPr>
            <w:r>
              <w:rPr>
                <w:rFonts w:ascii="Times New Roman" w:hAnsi="Times New Roman"/>
                <w:b w:val="false"/>
                <w:i w:val="false"/>
                <w:color w:val="000000"/>
                <w:sz w:val="20"/>
              </w:rPr>
              <w:t>for the waiver of (insert rule citation)</w:t>
            </w:r>
          </w:p>
          <w:p>
            <w:pPr>
              <w:spacing w:before="0" w:after="0"/>
              <w:ind w:left="160"/>
              <w:jc w:val="left"/>
            </w:pPr>
            <w:r>
              <w:rPr>
                <w:rFonts w:ascii="Times New Roman" w:hAnsi="Times New Roman"/>
                <w:b w:val="false"/>
                <w:i w:val="false"/>
                <w:color w:val="000000"/>
                <w:sz w:val="20"/>
              </w:rPr>
              <w:t>relating to (insert the subject matter).</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20"/>
              </w:rPr>
              <w:t>No. _____</w:t>
            </w:r>
          </w:p>
          <w:p>
            <w:pPr>
              <w:spacing w:before="0" w:after="0"/>
              <w:ind w:left="160"/>
              <w:jc w:val="left"/>
            </w:pPr>
            <w:r>
              <w:rPr>
                <w:rFonts w:ascii="Times New Roman" w:hAnsi="Times New Roman"/>
                <w:b w:val="false"/>
                <w:i w:val="false"/>
                <w:color w:val="000000"/>
                <w:sz w:val="20"/>
              </w:rPr>
              <w:t> </w:t>
            </w:r>
          </w:p>
          <w:p>
            <w:pPr>
              <w:spacing w:before="0" w:after="0"/>
              <w:ind w:left="160"/>
              <w:jc w:val="center"/>
            </w:pPr>
            <w:r>
              <w:rPr>
                <w:rFonts w:ascii="Times New Roman" w:hAnsi="Times New Roman"/>
                <w:b w:val="false"/>
                <w:i w:val="false"/>
                <w:color w:val="000000"/>
                <w:sz w:val="20"/>
              </w:rPr>
              <w:t>PETITION FOR</w:t>
            </w:r>
          </w:p>
          <w:p>
            <w:pPr>
              <w:spacing w:before="0" w:after="0"/>
              <w:ind w:left="160"/>
              <w:jc w:val="center"/>
            </w:pPr>
            <w:r>
              <w:rPr>
                <w:rFonts w:ascii="Times New Roman" w:hAnsi="Times New Roman"/>
                <w:b w:val="false"/>
                <w:i w:val="false"/>
                <w:color w:val="000000"/>
                <w:sz w:val="20"/>
              </w:rPr>
              <w:t>WAIVER</w:t>
            </w:r>
          </w:p>
        </w:tc>
      </w:tr>
    </w:tbl>
    <w:p>
      <w:pPr>
        <w:spacing w:before="0" w:after="0"/>
        <w:ind w:left="120"/>
        <w:jc w:val="both"/>
      </w:pPr>
      <w:r>
        <w:rPr>
          <w:rFonts w:ascii="Times New Roman" w:hAnsi="Times New Roman"/>
          <w:b w:val="false"/>
          <w:i w:val="false"/>
          <w:color w:val="000000"/>
          <w:sz w:val="22"/>
        </w:rPr>
        <w:t>Include the following information in the petition for waiver where applicable and known: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Provide the petitioner’s (the person who is asking for the waiver) name, address and telephone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Describe and cite the specific rule from which a waiver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Describe the specific waiver requested, including the exact scope and time period that the waiver will extend.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Explain the important facts that the petitioner believes justify the waiver. Include in your explanation (a) why application of the rule would pose an undue hardship to the petitioner; (b) why granting the waiver would not prejudice the substantial legal rights of any person; (c) whether the provisions of a rule subject to this petition are specifically mandated by statute or another provision of law; and (d) whether public health, safety or welfare will be affected if the requested waiver is granted.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Provide history of prior contacts between the state public defender and the petitioner relating to the regulated activity, license, audit, investigation, inspection or representation that would be affected by the waiver. In that history, include a description of each affected regulated activity, license, appeal, hearing, audit, investigation, inspection, representation or other assigned function of the state public defender, any notices of violation, contested case hearings, or investigative reports relating to the regulated activity, license, appeal, hearing, audit, investigation, inspection, representation or other assigned function of the state public defender within the last five years.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Provide information known to the petitioner regarding the state public defender’s treatment of similar cases.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Provide the name, address and telephone number of any public agency or political subdivision that also regulates the activity in question or that might be affected by the granting of a waiver.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Provide the name, address and telephone number of any person or entity that would be adversely affected or disadvantaged by the granting of the waiver.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Provide signed releases of information authorizing persons with knowledge regarding the request to furnish the state public defender with information relevant to the waiver.</w:t>
      </w:r>
    </w:p>
    <w:p>
      <w:pPr>
        <w:spacing w:before="0" w:after="0"/>
        <w:ind w:left="120"/>
        <w:jc w:val="both"/>
      </w:pPr>
      <w:r>
        <w:rPr>
          <w:rFonts w:ascii="Times New Roman" w:hAnsi="Times New Roman"/>
          <w:b w:val="false"/>
          <w:i w:val="false"/>
          <w:color w:val="000000"/>
          <w:sz w:val="22"/>
        </w:rPr>
        <w:t>I hereby attest to the accuracy and truthfulness of the above information.</w:t>
      </w:r>
    </w:p>
    <w:p>
      <w:pPr>
        <w:spacing w:before="60" w:after="0"/>
        <w:ind w:left="120"/>
        <w:jc w:val="center"/>
      </w:pPr>
    </w:p>
    <w:tbl>
      <w:tblPr>
        <w:tblW w:w="0" w:type="auto"/>
        <w:tblCellSpacing w:w="0" w:type="auto"/>
        <w:tblBorders>
          <w:top w:val="none"/>
          <w:left w:val="none"/>
          <w:bottom w:val="none"/>
          <w:right w:val="none"/>
          <w:insideH w:val="none"/>
          <w:insideV w:val="none"/>
        </w:tblBorders>
        <w:tblLayout w:type="fixed"/>
      </w:tblPr>
      <w:tblGrid>
        <w:gridCol w:w="6708"/>
        <w:gridCol w:w="441"/>
        <w:gridCol w:w="4041"/>
      </w:tblGrid>
      <w:tr>
        <w:trPr>
          <w:trHeight w:val="270" w:hRule="atLeast"/>
        </w:trPr>
        <w:tc>
          <w:tcPr>
            <w:tcW w:w="67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6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Petitioner’s signature</w:t>
            </w:r>
          </w:p>
        </w:tc>
        <w:tc>
          <w:tcPr>
            <w:tcW w:w="4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Date </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9505C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1/31/02, Notice 12/26/01—published 2/20/02, effective 4/1/02]</w:t>
      </w:r>
    </w:p>
    <w:p>
      <w:pPr>
        <w:spacing w:before="0" w:after="0"/>
        <w:ind w:left="120"/>
        <w:jc w:val="center"/>
      </w:pPr>
      <w:r>
        <w:rPr>
          <w:rFonts w:ascii="Times New Roman" w:hAnsi="Times New Roman"/>
          <w:b w:val="false"/>
          <w:i w:val="false"/>
          <w:color w:val="000000"/>
          <w:sz w:val="21"/>
        </w:rPr>
        <w:t>[Filed ARC 5574C</w:t>
      </w:r>
      <w:r>
        <w:rPr>
          <w:rFonts w:ascii="Times New Roman" w:hAnsi="Times New Roman"/>
          <w:b w:val="false"/>
          <w:i w:val="false"/>
          <w:color w:val="000000"/>
          <w:sz w:val="21"/>
        </w:rPr>
        <w:t xml:space="preserve"> (Notice ARC 5342C,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9505C</w:t>
      </w:r>
      <w:r>
        <w:rPr>
          <w:rFonts w:ascii="Times New Roman" w:hAnsi="Times New Roman"/>
          <w:b w:val="false"/>
          <w:i w:val="false"/>
          <w:color w:val="000000"/>
          <w:sz w:val="21"/>
        </w:rPr>
        <w:t xml:space="preserve"> (Notice ARC 9363C, IAB 6/25/25)</w:t>
      </w:r>
      <w:r>
        <w:rPr>
          <w:rFonts w:ascii="Times New Roman" w:hAnsi="Times New Roman"/>
          <w:b w:val="false"/>
          <w:i w:val="false"/>
          <w:color w:val="000000"/>
          <w:sz w:val="21"/>
        </w:rPr>
        <w:t>, IAB 8/20/25, effective 9/24/25]</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10.pdf" Type="http://schemas.openxmlformats.org/officeDocument/2006/relationships/hyperlink" Id="rId5"/>
    <Relationship TargetMode="External" Target="https://www.legis.iowa.gov/docs/ico/chapter/17A.18A.pdf" Type="http://schemas.openxmlformats.org/officeDocument/2006/relationships/hyperlink" Id="rId6"/>
    <Relationship TargetMode="External" Target="https://www.legis.iowa.gov/docs/iac/rule/493.6.4.pdf" Type="http://schemas.openxmlformats.org/officeDocument/2006/relationships/hyperlink" Id="rId7"/>
    <Relationship TargetMode="External" Target="https://www.legis.iowa.gov/docs/ico/chapter/17A.3.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co/chapter/17A.9A.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