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781</w:t>
      </w:r>
    </w:p>
    <w:p>
      <w:pPr>
        <w:spacing w:before="0" w:after="0"/>
        <w:ind w:left="120"/>
        <w:jc w:val="center"/>
      </w:pPr>
      <w:r>
        <w:rPr>
          <w:rFonts w:ascii="Times New Roman" w:hAnsi="Times New Roman"/>
          <w:b w:val="false"/>
          <w:i w:val="false"/>
          <w:color w:val="000000"/>
          <w:sz w:val="21"/>
        </w:rPr>
        <w:t>PRACTICE OF PHYSICIAN ASSOCIATES</w:t>
      </w:r>
    </w:p>
    <w:p>
      <w:pPr>
        <w:spacing w:before="0" w:after="0"/>
        <w:ind w:left="120"/>
        <w:jc w:val="center"/>
      </w:pPr>
      <w:r>
        <w:rPr>
          <w:rFonts w:ascii="Times New Roman" w:hAnsi="Times New Roman"/>
          <w:b w:val="false"/>
          <w:i w:val="false"/>
          <w:color w:val="000000"/>
          <w:sz w:val="14"/>
        </w:rPr>
        <w:t>[Prior to 8/7/02, see 645—325.6(148C) to 645—325.9(148C) and 645—325.18(148C)]</w:t>
      </w:r>
    </w:p>
    <w:p>
      <w:pPr>
        <w:spacing w:before="0" w:after="0"/>
        <w:ind w:left="120"/>
        <w:jc w:val="center"/>
      </w:pPr>
      <w:r>
        <w:rPr>
          <w:rFonts w:ascii="Times New Roman" w:hAnsi="Times New Roman"/>
          <w:b w:val="false"/>
          <w:i w:val="false"/>
          <w:color w:val="000000"/>
          <w:sz w:val="14"/>
        </w:rPr>
        <w:t>[Prior to 9/18/24, see Professional Licensure Division[645] Ch 327]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481—781.1</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Duties. </w:t>
      </w:r>
      <w:r>
        <w:rPr>
          <w:rFonts w:ascii="Times New Roman" w:hAnsi="Times New Roman"/>
          <w:b w:val="false"/>
          <w:i w:val="false"/>
          <w:color w:val="000000"/>
          <w:sz w:val="22"/>
        </w:rPr>
        <w:t>The medical services to be provided by the physician associate are those for which the physician associate has been prepared by education, training, or experience and is competent to perform. The ultimate role of the physician associate cannot be rigidly defined because of the variations in practice requirements due to geographic, economic, and sociologic factors. The high degree of responsibility a physician associate may assume requires that, at the conclusion of the formal education, the physician associate possess the knowledge, skills, and abilities necessary to provide those services appropriate to the practice setting. The physician associate’s services may be utilized in any clinical settings including but not limited to offices, ambulatory clinics, hospitals, patient’s homes, extended care facilities, and nursing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A physician associate’s duties relating to prescribing, dispensing, ordering, administering, and procuring drugs and medical devices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any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dispensing, ordering, administering, and procuring drugs and medical devices. A physician associate may plan and initiate a therapeutic regimen that includes ordering and prescribing nonpharmacological interventions, including but not limited to durable medical equipment, nutrition, blood and blood products, and diagnostic support services, including but not limited to home health care, hospice, and physical and occupational therapy. The prescribing and dispensing of drugs may include Schedule II through V substances, as described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 all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prescribe drugs and medical devices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will have passed the national certifying examination conducted by the National Commission on Certification of Physician Assistants or its successor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must comply with appropriate federal and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associate prescribes or dispenses controlled substances, the physician assistant must register with the federal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associate may prescribe or order Schedule II controlled substances that are listed as depressants in Iowa Code chapter </w:t>
      </w:r>
      <w:hyperlink r:id="rId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may prescribe, supply, and administer drugs and medical devices in all settings, including but not limited to hospitals, health care facilities, health care institutions, hospice, clinics, offices, health maintenance organizations, and outpatient and emergency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request, receive, and supply sample drugs and medical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Supplying properly packaged and labeled prescription drugs, controlled substances, or medical devices when pharmacist services are not reasonably available or when it is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physician associate is the prescriber of the medications supplied pursuant to this paragraph, the medications supplied will be for the purpose of accommodating the patient and will not be sold for more than the cost of the drug and reasonable overhead costs as they relate to supplying prescription drugs to the patient and not at a profit to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or staff assistant may assist the physician associate in supplying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medical services to be provided by the physician associate also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approach to a patient of any age group in any setting to elicit a medical history and perform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treatment of medical or surgical problems and recording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interpret, or perform laboratory tests, X-rays or other medical procedures or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Performance of therapeutic procedures such as injections, immunizations, suturing and care of wounds, removal of foreign bodies, ear and eye irrigation and other clinical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Performance of office surgical procedures including, but not limited to, skin biopsy, mole or wart removal, toenail removal, removal of a foreign body, arthrocentesis, incision and drainage of abscesses.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in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Prenatal and postnatal care and assisting a physician in obstetrical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Care of orthopedic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Performing and screening the results of special medical examinations including, but not limited to, electrocardiogram or Holter monitoring, radiography, audiometric and vision screening, tonometry, and pulmonary function screening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 and counseling of patients regarding physical and mental health on matters such as diets, disease, therapy, and normal growth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Function in the hospital setting by performing medical histories and physical examinations, making patient rounds, recording patient progress notes and other appropriate medical records, assisting in surgery, performing or assisting with medical procedures, providing emergency medical services and issuing, transmitting and executing patient care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Providing services to patients requiring continuing care (i.e., home, nursing home, extended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Referring patients to specialty or subspecialty physicians, medical facilities or social agencies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Immediate evaluation, treatment and institution of procedures essential to providing an appropriate response to emergency medical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Order drugs and supplies in the office, and assist in keeping records and in the upkeep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Admit patients to a hospital or health care facility as defined in Iowa Code section </w:t>
      </w:r>
      <w:hyperlink r:id="rId7">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Order diets, physical therapy, inhalation therapy, or other rehabilitative services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At the request of the peace officer, withdraw a specimen of blood from a patient for the purpose of determining the alcohol concentration or the presence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Direct medical personnel, health professionals, and others involved in caring for patients and the execution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Authenticate a medical form by signing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Perform other duties appropriate to a physician associate’s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Health care providers will consider the instructions of a physician associate to be authoritative.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Emergency medicine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associate may be a member of the staff of an ambulance or rescue squad pursuant to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document skills, training and education equivalent to that required of a certified advanced emergency medical technician or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must apply for approval of advanced care training equivalency on forms supplied by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Exceptions to this subrule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accompanies and is responsible for a transfer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serves on a basic ambulance or rescue squad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renders aid within the physician associate’s skills during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481—781.2</w:t>
      </w:r>
      <w:r>
        <w:rPr>
          <w:rFonts w:ascii="Times New Roman" w:hAnsi="Times New Roman"/>
          <w:b/>
          <w:i w:val="false"/>
          <w:color w:val="000000"/>
          <w:sz w:val="22"/>
        </w:rPr>
        <w:t xml:space="preserve">(148C) </w:t>
      </w:r>
      <w:r>
        <w:rPr>
          <w:rFonts w:ascii="Times New Roman" w:hAnsi="Times New Roman"/>
          <w:b/>
          <w:i w:val="false"/>
          <w:color w:val="000000"/>
          <w:sz w:val="22"/>
        </w:rPr>
        <w:t xml:space="preserve">Prohibition. </w:t>
      </w:r>
      <w:r>
        <w:rPr>
          <w:rFonts w:ascii="Times New Roman" w:hAnsi="Times New Roman"/>
          <w:b w:val="false"/>
          <w:i w:val="false"/>
          <w:color w:val="000000"/>
          <w:sz w:val="22"/>
        </w:rPr>
        <w:t xml:space="preserve">No physician associate engaged in independent practice, as defined in Iowa Code section </w:t>
      </w:r>
      <w:hyperlink r:id="rId9">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will be permitted to measure the visual power and visual efficiency of the human eye, as distinguished from routine visual screening, except in the personal presence of a supervising physician at the place where these services are 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481—781.3</w:t>
      </w:r>
      <w:r>
        <w:rPr>
          <w:rFonts w:ascii="Times New Roman" w:hAnsi="Times New Roman"/>
          <w:b/>
          <w:i w:val="false"/>
          <w:color w:val="000000"/>
          <w:sz w:val="22"/>
        </w:rPr>
        <w:t xml:space="preserve">(147,88GA,ch1020) </w:t>
      </w:r>
      <w:r>
        <w:rPr>
          <w:rFonts w:ascii="Times New Roman" w:hAnsi="Times New Roman"/>
          <w:b/>
          <w:i w:val="false"/>
          <w:color w:val="000000"/>
          <w:sz w:val="22"/>
        </w:rPr>
        <w:t xml:space="preserve">Identification as a physician associate. </w:t>
      </w:r>
      <w:r>
        <w:rPr>
          <w:rFonts w:ascii="Times New Roman" w:hAnsi="Times New Roman"/>
          <w:b w:val="false"/>
          <w:i w:val="false"/>
          <w:color w:val="000000"/>
          <w:sz w:val="22"/>
        </w:rPr>
        <w:t>The physician associate will be identified as a physician associate to patients and to the public, regardless of the physician associate’s educational degree.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481—781.4</w:t>
      </w:r>
      <w:r>
        <w:rPr>
          <w:rFonts w:ascii="Times New Roman" w:hAnsi="Times New Roman"/>
          <w:b/>
          <w:i w:val="false"/>
          <w:color w:val="000000"/>
          <w:sz w:val="22"/>
        </w:rPr>
        <w:t xml:space="preserve">(147) </w:t>
      </w:r>
      <w:r>
        <w:rPr>
          <w:rFonts w:ascii="Times New Roman" w:hAnsi="Times New Roman"/>
          <w:b/>
          <w:i w:val="false"/>
          <w:color w:val="000000"/>
          <w:sz w:val="22"/>
        </w:rPr>
        <w:t xml:space="preserve">Prescription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val="false"/>
          <w:color w:val="000000"/>
          <w:sz w:val="22"/>
        </w:rPr>
        <w:t>Each written outpatient prescription drug order issued by a physician assistant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patient for whom the drug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drug, medicine, or device prescribed and 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associate’s name and the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physician associate followed by the initials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Drug Enforcement Administration (DEA) number of the physician associate if the prescription is for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val="false"/>
          <w:color w:val="000000"/>
          <w:sz w:val="22"/>
        </w:rPr>
        <w:t>Each oral prescription drug order issued by a physician associate will include the same information required for a written prescription, except for the written signature of the physician associate and the physician associate’s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val="false"/>
          <w:color w:val="000000"/>
          <w:sz w:val="22"/>
        </w:rPr>
        <w:t>Prior to prescribing an opioid, a physician associate will review the patient’s information contained in the prescription monitoring program database, unless the patient is receiving inpatient hospice care or long-term residential facility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2020, every prescription issued for a prescription drug will be transmitted electronically unless exempted pursuant to Iowa Code section </w:t>
      </w:r>
      <w:hyperlink r:id="rId1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Beginning January 1, 2020, a licensee who fails to comply with the electronic prescription mandate may be subject to a nondisciplinary administrative penalty of $250 per violation, up to a maximum of $5,000 per calendar year.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481—781.5</w:t>
      </w:r>
      <w:r>
        <w:rPr>
          <w:rFonts w:ascii="Times New Roman" w:hAnsi="Times New Roman"/>
          <w:b/>
          <w:i w:val="false"/>
          <w:color w:val="000000"/>
          <w:sz w:val="22"/>
        </w:rPr>
        <w:t xml:space="preserve">(147) </w:t>
      </w:r>
      <w:r>
        <w:rPr>
          <w:rFonts w:ascii="Times New Roman" w:hAnsi="Times New Roman"/>
          <w:b/>
          <w:i w:val="false"/>
          <w:color w:val="000000"/>
          <w:sz w:val="22"/>
        </w:rPr>
        <w:t xml:space="preserve">Supplying—requirements for containers, labeling,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will be supplied in a container that meets the requirements of the Poison Prevention Packaging Act of 1970, 15 U.S.C. §1471-1476 (1976), which relate to childproof closure, unless otherwise requested by the patient. The containers must also meet the requirements of Section 502G of the Federal Food, Drug and Cosmetic Act, 21 U.S.C. §301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(1976), which pertain to light resistance and moisture resistance needs of the drug supplied.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bearing the following information will be affixed to a container in which a prescription drug is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practice address of the supervising physician and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supplying Schedule II, III, or IV controlled substances, the federal transfer warning statement must appear on the label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Prescription sample drugs will be provided without additional charge to the patient. Prescription sample drugs supplied in the original container or package will be deemed to conform to labeling and packaging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record of prescription drugs supplied by the physician associate to a patient will be kept that contains the label information required by paragraphs </w:t>
      </w:r>
      <w:r>
        <w:rPr>
          <w:rFonts w:ascii="Times New Roman" w:hAnsi="Times New Roman"/>
          <w:b w:val="false"/>
          <w:i w:val="false"/>
          <w:color w:val="000000"/>
          <w:sz w:val="22"/>
        </w:rPr>
        <w:t>781.7(2)</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through </w:t>
      </w:r>
      <w:r>
        <w:rPr>
          <w:rFonts w:ascii="Times New Roman" w:hAnsi="Times New Roman"/>
          <w:b w:val="false"/>
          <w:i/>
          <w:color w:val="000000"/>
          <w:sz w:val="22"/>
        </w:rPr>
        <w:t>“e.”</w:t>
      </w:r>
      <w:r>
        <w:rPr>
          <w:rFonts w:ascii="Times New Roman" w:hAnsi="Times New Roman"/>
          <w:b w:val="false"/>
          <w:i w:val="false"/>
          <w:color w:val="000000"/>
          <w:sz w:val="22"/>
        </w:rPr>
        <w:t xml:space="preserve"> Noting such information on the patient’s chart or record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481—781.6</w:t>
      </w:r>
      <w:r>
        <w:rPr>
          <w:rFonts w:ascii="Times New Roman" w:hAnsi="Times New Roman"/>
          <w:b/>
          <w:i w:val="false"/>
          <w:color w:val="000000"/>
          <w:sz w:val="22"/>
        </w:rPr>
        <w:t xml:space="preserve">(147,148C,272C)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provision of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color w:val="000000"/>
          <w:sz w:val="22"/>
        </w:rPr>
        <w:t xml:space="preserve">Telemedicine,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Technological advances have made it possible for licensees in one location to provide medical care to patients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Telemedicine is a useful tool that, if applied appropriately, can provide important benefits to patients, including increased access to health care, expanded utilization of specialty expertise, rapid availability of patient records, and potential cost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using telemedicine will be held to the same standards of care and professional ethics as licensees using traditional in-person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appropriate standards of care or professional ethics while using telemedicine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“In-person encounter”</w:t>
      </w:r>
      <w:r>
        <w:rPr>
          <w:rFonts w:ascii="Times New Roman" w:hAnsi="Times New Roman"/>
          <w:b w:val="false"/>
          <w:i w:val="false"/>
          <w:color w:val="000000"/>
          <w:sz w:val="22"/>
        </w:rPr>
        <w:t> </w:t>
      </w:r>
      <w:r>
        <w:rPr>
          <w:rFonts w:ascii="Times New Roman" w:hAnsi="Times New Roman"/>
          <w:b w:val="false"/>
          <w:i w:val="false"/>
          <w:color w:val="000000"/>
          <w:sz w:val="22"/>
        </w:rPr>
        <w:t>means that the physician associate and the patient are in the physical presence of each other and are in the same physical location during the physician associate-patient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physician associate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for the purposes of this rule establishing standards of practice, does not include the provision of medical services only through an audio-only telephone, email messages, facsimile transmissions, or U.S. mail or other parcel service,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 technologies”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technologies and devices enabling secure electronic communications and information exchanges between a licensee in one location and a patient in another location with or without an intervening health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 xml:space="preserve">A licensee who uses telemedicine will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physician associate who uses telemedicine in the diagnosis and treatment of a patient located in Iowa will hold an active Iowa physician associate license consistent with state and federal laws. Nothing in this rule will be construed to supersede the exceptions to licensure contained in rule </w:t>
      </w:r>
      <w:hyperlink r:id="rId12">
        <w:r>
          <w:rPr>
            <w:rStyle w:val="Hyperlink"/>
            <w:rFonts w:ascii="Times New Roman" w:hAnsi="Times New Roman"/>
            <w:b w:val="false"/>
            <w:i w:val="false"/>
            <w:color w:val="000000"/>
            <w:sz w:val="22"/>
          </w:rPr>
          <w:t>481—780.17</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 xml:space="preserve">A licensee who uses telemedicine will be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licensee who uses telemedicine will ensure that the services provided are consistent with the licensee’s scope of practice, including the licensee’s education, training, experience, ability, licensure,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associate. </w:t>
      </w:r>
      <w:r>
        <w:rPr>
          <w:rFonts w:ascii="Times New Roman" w:hAnsi="Times New Roman"/>
          <w:b w:val="false"/>
          <w:i w:val="false"/>
          <w:color w:val="000000"/>
          <w:sz w:val="22"/>
        </w:rPr>
        <w:t>A licensee who uses telemedicine will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781.6(8)</w:t>
      </w:r>
      <w:r>
        <w:rPr>
          <w:rFonts w:ascii="Times New Roman" w:hAnsi="Times New Roman"/>
          <w:b w:val="false"/>
          <w:i w:val="false"/>
          <w:color w:val="000000"/>
          <w:sz w:val="22"/>
        </w:rPr>
        <w:t> </w:t>
      </w:r>
      <w:r>
        <w:rPr>
          <w:rFonts w:ascii="Times New Roman" w:hAnsi="Times New Roman"/>
          <w:b w:val="false"/>
          <w:i/>
          <w:color w:val="000000"/>
          <w:sz w:val="22"/>
        </w:rPr>
        <w:t xml:space="preserve">Physician associate-patient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will establish a valid physician associate-patient relationship with the person who receives telemedicine services. The physician associate-patient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with a health-related matter seeks assistance from a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agrees to undertake diagnosis and treatment of the person;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associate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physician associate-patient relationship may be established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encounter. Through an in-person medical interview and physical examination where the standard of care would require an in-person encounter;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Consultation with another licensee. Through consultation with another licensee (or other health care provider) who has an established relationship with the patient and who agrees to participate in, or supervise, the patient’s care;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781.6(9)</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will perform an in-person medical interview and physical examination for each patient. However, the medical interview and physical examination may not be in person if the technology utilized in a telemedicine encounter is sufficient to establish an informed diagnosis as though the medical interview and physical examination had been performed in person. Prior to providing treatment, including issuing prescriptions, electronically or otherwise, a licensee who uses telemedicine will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781.6(10)</w:t>
      </w:r>
      <w:r>
        <w:rPr>
          <w:rFonts w:ascii="Times New Roman" w:hAnsi="Times New Roman"/>
          <w:b w:val="false"/>
          <w:i w:val="false"/>
          <w:color w:val="000000"/>
          <w:sz w:val="22"/>
        </w:rPr>
        <w:t> </w:t>
      </w:r>
      <w:r>
        <w:rPr>
          <w:rFonts w:ascii="Times New Roman" w:hAnsi="Times New Roman"/>
          <w:b w:val="false"/>
          <w:i/>
          <w:color w:val="000000"/>
          <w:sz w:val="22"/>
        </w:rPr>
        <w:t xml:space="preserve">Non-physician associate health care providers. </w:t>
      </w:r>
      <w:r>
        <w:rPr>
          <w:rFonts w:ascii="Times New Roman" w:hAnsi="Times New Roman"/>
          <w:b w:val="false"/>
          <w:i w:val="false"/>
          <w:color w:val="000000"/>
          <w:sz w:val="22"/>
        </w:rPr>
        <w:t>If a licensee who uses telemedicine relies upon or delegates the provision of telemedicine services to a non-physician associate health care provider,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associate health care provider is qualified and trained to provide that service within the scope of the non-physician associate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licensee is available in person or electronically to consult with the non-physician associate health care provider, particularly in the case of injury or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will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will, when medically appropriate, identify the medical home or treating clinician(s) for the patient, when available, where in-person services can be delivered in coordination with the telemedicine services. The licensee will provide a copy of the medical record to the patient’s medical home or treating clinician(s).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781.6(13)</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will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781.6(14)</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will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781.6(15)</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A licensee who uses telemedicine will ensure that complete, accurate and timely medical records are maintained for the patient when appropriate, including all patient-related electronic communications, records of past care, physician associate-patient communications, laboratory and test results, evaluations and consultations, prescriptions, and instructions obtained or produced in connection with the use of telemedicine technologies. The licensee will note in the patient’s record when telemedicine is used to provide diagnosis and treatment. The licensee will ensure that the patient or another licensee designated by the patient has timely access to all information obtained during the telemedicine encounter. The licensee will ensure that the patient receives, upon request, a summary of each telemedicine encounter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781.6(16)</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will ensure that all telemedicine encounters comply with the privacy and security measures of HIPAA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will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care personnel who will process messages;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Types of transactions that will be permitted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patient information to be included in the communication, including patient name, identification number and type of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Archiving and retrieval;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will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781.6(17)</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will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comply with all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compliant with HIPAA.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781.6(18)</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will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licensure, certification, credentials, and qualifications of all health care providers who are providing the telemedicine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collected and passive tracking mechanisms utilized.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781.6(19)</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will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register complaints. The mechanism will include information regarding the filing of complaints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781.6(20)</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 xml:space="preserve">Advertising or promotion of goods or products from which the licensee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will not transmit prescriptions to a specific pharmacy, or recommend a pharmacy, in exchange for any type of consideration or benefit from the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781.6(21)</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hospice settings, and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781.6(22)</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 associate-patient relationship, a licensee’s prescribing to a patient based solely on a telephonic evaluation is prohibited, with the exception of the circumstances described in </w:t>
      </w:r>
      <w:hyperlink r:id="rId13">
        <w:r>
          <w:rPr>
            <w:rStyle w:val="Hyperlink"/>
            <w:rFonts w:ascii="Times New Roman" w:hAnsi="Times New Roman"/>
            <w:b w:val="false"/>
            <w:i w:val="false"/>
            <w:color w:val="000000"/>
            <w:sz w:val="22"/>
          </w:rPr>
          <w:t>subrule 781.9(21)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and chapters </w:t>
      </w:r>
      <w:hyperlink r:id="rId1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8/25/04—published 9/15/04, effective 8/25/04]</w:t>
      </w:r>
    </w:p>
    <w:p>
      <w:pPr>
        <w:spacing w:before="0" w:after="0"/>
        <w:ind w:left="120"/>
        <w:jc w:val="center"/>
      </w:pPr>
      <w:r>
        <w:rPr>
          <w:rFonts w:ascii="Times New Roman" w:hAnsi="Times New Roman"/>
          <w:b w:val="false"/>
          <w:i w:val="false"/>
          <w:color w:val="000000"/>
          <w:sz w:val="21"/>
        </w:rPr>
        <w:t>[Filed 10/18/06, Notice 8/16/06—published 11/8/06, effective 12/13/06]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[Filed ARC 9217B</w:t>
      </w:r>
      <w:r>
        <w:rPr>
          <w:rFonts w:ascii="Times New Roman" w:hAnsi="Times New Roman"/>
          <w:b w:val="false"/>
          <w:i w:val="false"/>
          <w:color w:val="000000"/>
          <w:sz w:val="21"/>
        </w:rPr>
        <w:t xml:space="preserve"> (Notice ARC 8775B,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9844B</w:t>
      </w:r>
      <w:r>
        <w:rPr>
          <w:rFonts w:ascii="Times New Roman" w:hAnsi="Times New Roman"/>
          <w:b w:val="false"/>
          <w:i w:val="false"/>
          <w:color w:val="000000"/>
          <w:sz w:val="21"/>
        </w:rPr>
        <w:t xml:space="preserve"> (Notice ARC 9580B, IAB 6/29/11)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1909C</w:t>
      </w:r>
      <w:r>
        <w:rPr>
          <w:rFonts w:ascii="Times New Roman" w:hAnsi="Times New Roman"/>
          <w:b w:val="false"/>
          <w:i w:val="false"/>
          <w:color w:val="000000"/>
          <w:sz w:val="21"/>
        </w:rPr>
        <w:t xml:space="preserve"> (Notice ARC 1741C, IAB 11/26/14)</w:t>
      </w:r>
      <w:r>
        <w:rPr>
          <w:rFonts w:ascii="Times New Roman" w:hAnsi="Times New Roman"/>
          <w:b w:val="false"/>
          <w:i w:val="false"/>
          <w:color w:val="000000"/>
          <w:sz w:val="21"/>
        </w:rPr>
        <w:t>, IAB 3/18/15, effective 4/22/15]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ARC 2436C, IAB 3/16/16, effective 2/16/16]</w:t>
      </w:r>
    </w:p>
    <w:p>
      <w:pPr>
        <w:spacing w:before="0" w:after="0"/>
        <w:ind w:left="120"/>
        <w:jc w:val="center"/>
      </w:pPr>
      <w:r>
        <w:rPr>
          <w:rFonts w:ascii="Times New Roman" w:hAnsi="Times New Roman"/>
          <w:b w:val="false"/>
          <w:i w:val="false"/>
          <w:color w:val="000000"/>
          <w:sz w:val="21"/>
        </w:rPr>
        <w:t>[Filed ARC 3642C</w:t>
      </w:r>
      <w:r>
        <w:rPr>
          <w:rFonts w:ascii="Times New Roman" w:hAnsi="Times New Roman"/>
          <w:b w:val="false"/>
          <w:i w:val="false"/>
          <w:color w:val="000000"/>
          <w:sz w:val="21"/>
        </w:rPr>
        <w:t xml:space="preserve"> (Notice ARC 3455C, IAB 11/22/17)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r>
        <w:br/>
      </w:r>
      <w:r>
        <w:rPr>
          <w:rFonts w:ascii="Times New Roman" w:hAnsi="Times New Roman"/>
          <w:b w:val="false"/>
          <w:i w:val="false"/>
          <w:color w:val="000000"/>
          <w:sz w:val="21"/>
        </w:rPr>
        <w:t>[Filed ARC 4300C</w:t>
      </w:r>
      <w:r>
        <w:rPr>
          <w:rFonts w:ascii="Times New Roman" w:hAnsi="Times New Roman"/>
          <w:b w:val="false"/>
          <w:i w:val="false"/>
          <w:color w:val="000000"/>
          <w:sz w:val="21"/>
        </w:rPr>
        <w:t xml:space="preserve"> (Notice ARC 4130C,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4953C</w:t>
      </w:r>
      <w:r>
        <w:rPr>
          <w:rFonts w:ascii="Times New Roman" w:hAnsi="Times New Roman"/>
          <w:b w:val="false"/>
          <w:i w:val="false"/>
          <w:color w:val="000000"/>
          <w:sz w:val="21"/>
        </w:rPr>
        <w:t xml:space="preserve"> (Notice ARC 4768C, IAB 11/20/19)</w:t>
      </w:r>
      <w:r>
        <w:rPr>
          <w:rFonts w:ascii="Times New Roman" w:hAnsi="Times New Roman"/>
          <w:b w:val="false"/>
          <w:i w:val="false"/>
          <w:color w:val="000000"/>
          <w:sz w:val="21"/>
        </w:rPr>
        <w:t>, IAB 2/26/20, effective 5/27/20]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5862C</w:t>
      </w:r>
      <w:r>
        <w:rPr>
          <w:rFonts w:ascii="Times New Roman" w:hAnsi="Times New Roman"/>
          <w:b w:val="false"/>
          <w:i w:val="false"/>
          <w:color w:val="000000"/>
          <w:sz w:val="21"/>
        </w:rPr>
        <w:t xml:space="preserve"> (Notice ARC 5555C, IAB 4/7/21)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8038C</w:t>
      </w:r>
      <w:r>
        <w:rPr>
          <w:rFonts w:ascii="Times New Roman" w:hAnsi="Times New Roman"/>
          <w:b w:val="false"/>
          <w:i w:val="false"/>
          <w:color w:val="000000"/>
          <w:sz w:val="21"/>
        </w:rPr>
        <w:t xml:space="preserve"> (Notice ARC 7528C,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June 16, 2004, effective date of amendments published in ARC 3345B delayed 70 days by the Administrative Rules Review Committee at its meeting held June 7, 2004.</w:t>
      </w:r>
    </w:p>
    <w:p>
      <w:pPr>
        <w:pBdr>
          <w:bottom w:space="2"/>
        </w:pBdr>
        <w:spacing w:before="0" w:after="0"/>
        <w:ind w:left="120"/>
        <w:jc w:val="both"/>
      </w:pPr>
      <w:r>
        <w:rPr>
          <w:rFonts w:ascii="Times New Roman" w:hAnsi="Times New Roman"/>
          <w:b w:val="false"/>
          <w:i w:val="false"/>
          <w:color w:val="000000"/>
          <w:sz w:val="22"/>
        </w:rPr>
        <w:t>April 22, 2015, effective date of ARC 1909C [327.4(2)] delayed until the adjournment of the 2016 General Assembly by the Administrative Rules Review Committee at a special meeting held April 20, 2015. At its meeting held February 5, 2016, the Committee extended the delay 70 days beyond the adjournment of the 2016 General Assembly.</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pdf" Type="http://schemas.openxmlformats.org/officeDocument/2006/relationships/hyperlink" Id="rId6"/>
    <Relationship TargetMode="External" Target="https://www.legis.iowa.gov/docs/ico/chapter/135C.1.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8C.1.pdf" Type="http://schemas.openxmlformats.org/officeDocument/2006/relationships/hyperlink" Id="rId9"/>
    <Relationship TargetMode="External" Target="https://www.legis.iowa.gov/docs/ico/chapter/124.308.pdf" Type="http://schemas.openxmlformats.org/officeDocument/2006/relationships/hyperlink" Id="rId10"/>
    <Relationship TargetMode="External" Target="https://www.legis.iowa.gov/docs/ico/chapter/155A.27.pdf" Type="http://schemas.openxmlformats.org/officeDocument/2006/relationships/hyperlink" Id="rId11"/>
    <Relationship TargetMode="External" Target="https://www.legis.iowa.gov/docs/iac/rule/481.780.17.pdf" Type="http://schemas.openxmlformats.org/officeDocument/2006/relationships/hyperlink" Id="rId12"/>
    <Relationship TargetMode="External" Target="https://www.legis.iowa.gov/docs/iac/rule/645.327.9.pdf" Type="http://schemas.openxmlformats.org/officeDocument/2006/relationships/hyperlink" Id="rId13"/>
    <Relationship TargetMode="External" Target="https://www.legis.iowa.gov/docs/ico/chapter/147.10.pdf" Type="http://schemas.openxmlformats.org/officeDocument/2006/relationships/hyperlink" Id="rId14"/>
    <Relationship TargetMode="External" Target="https://www.legis.iowa.gov/docs/ico/chapter/147.107.pdf" Type="http://schemas.openxmlformats.org/officeDocument/2006/relationships/hyperlink" Id="rId15"/>
    <Relationship TargetMode="External" Target="https://www.legis.iowa.gov/docs/ico/chapter/148C.pdf" Type="http://schemas.openxmlformats.org/officeDocument/2006/relationships/hyperlink" Id="rId16"/>
    <Relationship TargetMode="External" Target="https://www.legis.iowa.gov/docs/ico/chapter/272C.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