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ELEVATOR SAFETY BOARD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365</w:t>
      </w:r>
    </w:p>
    <w:p>
      <w:pPr>
        <w:spacing w:before="0" w:after="0"/>
        <w:ind w:left="120"/>
        <w:jc w:val="center"/>
      </w:pPr>
      <w:r>
        <w:rPr>
          <w:rFonts w:ascii="Times New Roman" w:hAnsi="Times New Roman"/>
          <w:b w:val="false"/>
          <w:i w:val="false"/>
          <w:color w:val="000000"/>
          <w:sz w:val="21"/>
        </w:rPr>
        <w:t>ELEVATOR SAFETY BOARD ADMINISTRATIVE AND REGULATORY AUTHORITY</w:t>
      </w:r>
    </w:p>
    <w:p>
      <w:pPr>
        <w:spacing w:before="0" w:after="0"/>
        <w:ind w:left="120"/>
        <w:jc w:val="center"/>
      </w:pPr>
      <w:r>
        <w:rPr>
          <w:rFonts w:ascii="Times New Roman" w:hAnsi="Times New Roman"/>
          <w:b w:val="false"/>
          <w:i w:val="false"/>
          <w:color w:val="000000"/>
          <w:sz w:val="14"/>
        </w:rPr>
        <w:t>[Prior to 7/9/25, see Labor Services Division[875] Ch 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481—365.1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365</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elevator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 elevator, construction personnel hoist, dumbwaiter, escalator, moving walk, lift or inclined or vertical wheelchair lift subject to regulation under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includes hoistways, rails, guides, and all other related mechanical and electrical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481—365.2</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health, safety and welfare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inspection reports that relate to the installation, alteration, operation, and maintenance of conveyances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365.2(3)</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actions by the director to deny, suspend or revoke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365.2(4)</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365.2(5)</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481—365.3</w:t>
      </w:r>
      <w:r>
        <w:rPr>
          <w:rFonts w:ascii="Times New Roman" w:hAnsi="Times New Roman"/>
          <w:b/>
          <w:i w:val="false"/>
          <w:color w:val="000000"/>
          <w:sz w:val="22"/>
        </w:rPr>
        <w:t xml:space="preserve">(21,89A) </w:t>
      </w:r>
      <w:r>
        <w:rPr>
          <w:rFonts w:ascii="Times New Roman" w:hAnsi="Times New Roman"/>
          <w:b/>
          <w:i w:val="false"/>
          <w:color w:val="000000"/>
          <w:sz w:val="22"/>
        </w:rPr>
        <w:t xml:space="preserve">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director nor the director’s designee may serve as chairperson. The chairperson presides at meetings, appoints members and chairpersons of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481—365.4</w:t>
      </w:r>
      <w:r>
        <w:rPr>
          <w:rFonts w:ascii="Times New Roman" w:hAnsi="Times New Roman"/>
          <w:b/>
          <w:i w:val="false"/>
          <w:color w:val="000000"/>
          <w:sz w:val="22"/>
        </w:rPr>
        <w:t xml:space="preserve">(21,89A)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prepares the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481—365.5</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8771C</w:t>
      </w:r>
      <w:r>
        <w:rPr>
          <w:rFonts w:ascii="Times New Roman" w:hAnsi="Times New Roman"/>
          <w:b w:val="false"/>
          <w:i w:val="false"/>
          <w:color w:val="000000"/>
          <w:sz w:val="21"/>
        </w:rPr>
        <w:t xml:space="preserve"> (Notice ARC 8319C,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65.pdf" Type="http://schemas.openxmlformats.org/officeDocument/2006/relationships/hyperlink" Id="rId5"/>
    <Relationship TargetMode="External" Target="https://www.legis.iowa.gov/docs/iac/chapter/481.373.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89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