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PUBLIC RECORDS AND</w:t>
      </w:r>
      <w:r>
        <w:br/>
      </w:r>
      <w:r>
        <w:rPr>
          <w:rFonts w:ascii="Times New Roman" w:hAnsi="Times New Roman"/>
          <w:b w:val="false"/>
          <w:i w:val="false"/>
          <w:color w:val="000000"/>
          <w:sz w:val="21"/>
        </w:rPr>
        <w:t>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fair board hereby adopts, with the following exceptions and amendments, rules of the Governor’s Task Force on Uniform Rules of Agency Procedure relating to public records and fair information practices which are printed in the first volume of the Iowa Administrative Code.</w:t>
      </w:r>
    </w:p>
    <w:p>
      <w:pPr>
        <w:spacing w:before="0" w:after="0"/>
        <w:ind w:left="120"/>
        <w:jc w:val="both"/>
      </w:pPr>
      <w:r>
        <w:rPr>
          <w:rFonts w:ascii="Times New Roman" w:hAnsi="Times New Roman"/>
          <w:b/>
          <w:i w:val="false"/>
          <w:color w:val="000000"/>
          <w:sz w:val="22"/>
        </w:rPr>
        <w:t>371—9.1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lieu of “(official or body issuing these rules)” insert “the fair board”.</w:t>
      </w:r>
    </w:p>
    <w:p>
      <w:pPr>
        <w:spacing w:before="0" w:after="0"/>
        <w:ind w:left="120"/>
        <w:jc w:val="both"/>
      </w:pPr>
      <w:r>
        <w:rPr>
          <w:rFonts w:ascii="Times New Roman" w:hAnsi="Times New Roman"/>
          <w:b/>
          <w:i w:val="false"/>
          <w:color w:val="000000"/>
          <w:sz w:val="22"/>
        </w:rPr>
        <w:t>371—9.3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val="false"/>
          <w:color w:val="000000"/>
          <w:sz w:val="22"/>
        </w:rPr>
        <w:t>In lieu of “(insert agency head)” insert “secretary/manager of the fair board”. In lieu of “(insert agency name and address)” insert “Secretary of Fair Board, Statehouse,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val="false"/>
          <w:color w:val="000000"/>
          <w:sz w:val="22"/>
        </w:rPr>
        <w:t xml:space="preserve">Office hours. In lieu of “(insert customary office hours and, if agency does not have customary office hours of at least thirty hours per week, insert hours specified in Iowa Code section </w:t>
      </w:r>
      <w:hyperlink r:id="rId5">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w:t>
      </w:r>
      <w:r>
        <w:rPr>
          <w:rFonts w:ascii="Times New Roman" w:hAnsi="Times New Roman"/>
          <w:b w:val="false"/>
          <w:i w:val="false"/>
          <w:color w:val="000000"/>
          <w:sz w:val="22"/>
        </w:rPr>
        <w:t> </w:t>
      </w:r>
      <w:r>
        <w:rPr>
          <w:rFonts w:ascii="Times New Roman" w:hAnsi="Times New Roman"/>
          <w:b w:val="false"/>
          <w:i w:val="false"/>
          <w:color w:val="000000"/>
          <w:sz w:val="22"/>
        </w:rPr>
        <w:t>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Supervisory fee. In lieu of “(specify time period)” insert “one-half hour”.</w:t>
      </w:r>
    </w:p>
    <w:p>
      <w:pPr>
        <w:spacing w:before="0" w:after="0"/>
        <w:ind w:left="120"/>
        <w:jc w:val="both"/>
      </w:pPr>
      <w:r>
        <w:rPr>
          <w:rFonts w:ascii="Times New Roman" w:hAnsi="Times New Roman"/>
          <w:b/>
          <w:i w:val="false"/>
          <w:color w:val="000000"/>
          <w:sz w:val="22"/>
        </w:rPr>
        <w:t>371—9.9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6">
        <w:r>
          <w:rPr>
            <w:rStyle w:val="Hyperlink"/>
            <w:rFonts w:ascii="Times New Roman" w:hAnsi="Times New Roman"/>
            <w:b w:val="false"/>
            <w:i w:val="false"/>
            <w:color w:val="000000"/>
            <w:sz w:val="22"/>
          </w:rPr>
          <w:t>9.10(17A,22)</w:t>
        </w:r>
      </w:hyperlink>
      <w:r>
        <w:rPr>
          <w:rFonts w:ascii="Times New Roman" w:hAnsi="Times New Roman"/>
          <w:b w:val="false"/>
          <w:i w:val="false"/>
          <w:color w:val="000000"/>
          <w:sz w:val="22"/>
        </w:rPr>
        <w:t xml:space="preserve"> or in any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had submitted a written request to the fair board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 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7">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371—9.10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fair board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fair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i w:val="false"/>
          <w:color w:val="000000"/>
          <w:sz w:val="22"/>
        </w:rPr>
        <w:t>371—9.11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w:t>
      </w:r>
      <w:r>
        <w:rPr>
          <w:rFonts w:ascii="Times New Roman" w:hAnsi="Times New Roman"/>
          <w:b w:val="false"/>
          <w:i w:val="false"/>
          <w:color w:val="000000"/>
          <w:sz w:val="22"/>
        </w:rPr>
        <w:t> </w:t>
      </w:r>
      <w:r>
        <w:rPr>
          <w:rFonts w:ascii="Times New Roman" w:hAnsi="Times New Roman"/>
          <w:b w:val="false"/>
          <w:i w:val="false"/>
          <w:color w:val="000000"/>
          <w:sz w:val="22"/>
        </w:rPr>
        <w:t xml:space="preserve">Consent to disclosure by a subject individual. To the extent permitted by law, the subject may consent in writing to agency disclosure of confidential records as provided in rule </w:t>
      </w:r>
      <w:hyperlink r:id="rId9">
        <w:r>
          <w:rPr>
            <w:rStyle w:val="Hyperlink"/>
            <w:rFonts w:ascii="Times New Roman" w:hAnsi="Times New Roman"/>
            <w:b w:val="false"/>
            <w:i w:val="false"/>
            <w:color w:val="000000"/>
            <w:sz w:val="22"/>
          </w:rPr>
          <w:t>9.7</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9.11(2)</w:t>
      </w:r>
      <w:r>
        <w:rPr>
          <w:rFonts w:ascii="Times New Roman" w:hAnsi="Times New Roman"/>
          <w:b w:val="false"/>
          <w:i w:val="false"/>
          <w:color w:val="000000"/>
          <w:sz w:val="22"/>
        </w:rPr>
        <w:t> </w:t>
      </w:r>
      <w:r>
        <w:rPr>
          <w:rFonts w:ascii="Times New Roman" w:hAnsi="Times New Roman"/>
          <w:b w:val="false"/>
          <w:i w:val="false"/>
          <w:color w:val="000000"/>
          <w:sz w:val="22"/>
        </w:rPr>
        <w:t>Complaints to public officials. A letter from a subject of a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371—9.12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confidential record may file a written request to review confidential records about that person as provided in rule </w:t>
      </w:r>
      <w:hyperlink r:id="rId10">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(17A,22). However,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11">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See Iowa Code section </w:t>
      </w:r>
      <w:hyperlink r:id="rId12">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fair board may take reasonable steps to protect confidential information relating to another subject.</w:t>
      </w:r>
    </w:p>
    <w:p>
      <w:pPr>
        <w:spacing w:before="0" w:after="0"/>
        <w:ind w:left="120"/>
        <w:jc w:val="both"/>
      </w:pPr>
      <w:r>
        <w:rPr>
          <w:rFonts w:ascii="Times New Roman" w:hAnsi="Times New Roman"/>
          <w:b/>
          <w:i w:val="false"/>
          <w:color w:val="000000"/>
          <w:sz w:val="22"/>
        </w:rPr>
        <w:t>371—9.13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Fair board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(Iowa Code section </w:t>
      </w:r>
      <w:hyperlink r:id="rId13">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(Iowa Code sections </w:t>
      </w:r>
      <w:hyperlink r:id="rId14">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1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(Iowa Code section </w:t>
      </w:r>
      <w:hyperlink r:id="rId17">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18">
        <w:r>
          <w:rPr>
            <w:rStyle w:val="Hyperlink"/>
            <w:rFonts w:ascii="Times New Roman" w:hAnsi="Times New Roman"/>
            <w:b w:val="false"/>
            <w:i w:val="false"/>
            <w:color w:val="000000"/>
            <w:sz w:val="22"/>
          </w:rPr>
          <w:t>17A.3(1)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Those portions of agency staff manuals, instructions or other statements issued which set forth criteria or guidelines to be used by agency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Give a clearly improper advantage to persons who are in an adverse position to the agency. (See Iowa Code sections </w:t>
      </w:r>
      <w:hyperlink r:id="rId19">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21">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R.C.P. 122(c),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P. 26(b)(3), and case law. Attorney-client communications are confidential under Iowa Code sections </w:t>
      </w:r>
      <w:hyperlink r:id="rId24">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agency may have discretion to disclose some confidential records which are exempt from disclosure under Iowa Code section </w:t>
      </w:r>
      <w:hyperlink r:id="rId2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records withheld from inspection under a statute which authorizes limited or discretionary disclosure as provided in rule </w:t>
      </w:r>
      <w:hyperlink r:id="rId27">
        <w:r>
          <w:rPr>
            <w:rStyle w:val="Hyperlink"/>
            <w:rFonts w:ascii="Times New Roman" w:hAnsi="Times New Roman"/>
            <w:b w:val="false"/>
            <w:i w:val="false"/>
            <w:color w:val="000000"/>
            <w:sz w:val="22"/>
          </w:rPr>
          <w:t>9.4</w:t>
        </w:r>
      </w:hyperlink>
      <w:r>
        <w:rPr>
          <w:rFonts w:ascii="Times New Roman" w:hAnsi="Times New Roman"/>
          <w:b w:val="false"/>
          <w:i w:val="false"/>
          <w:color w:val="000000"/>
          <w:sz w:val="22"/>
        </w:rPr>
        <w:t xml:space="preserve">(17A,22). If the agency initially determines that it will release such records, the agency may where appropriate notify interested parties and withhold the records from inspection as provided in subrule </w:t>
      </w:r>
      <w:hyperlink r:id="rId28">
        <w:r>
          <w:rPr>
            <w:rStyle w:val="Hyperlink"/>
            <w:rFonts w:ascii="Times New Roman" w:hAnsi="Times New Roman"/>
            <w:b w:val="false"/>
            <w:i w:val="false"/>
            <w:color w:val="000000"/>
            <w:sz w:val="22"/>
          </w:rPr>
          <w:t>9.4(3)</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371—9.14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information—personnel files. </w:t>
      </w:r>
      <w:r>
        <w:rPr>
          <w:rFonts w:ascii="Times New Roman" w:hAnsi="Times New Roman"/>
          <w:b w:val="false"/>
          <w:i w:val="false"/>
          <w:color w:val="000000"/>
          <w:sz w:val="22"/>
        </w:rPr>
        <w:t xml:space="preserve">The fair board maintains files containing information about employees and applicants for positions with the agency. The files include payroll records,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29">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371—9.15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rule </w:t>
      </w:r>
      <w:hyperlink r:id="rId30">
        <w:r>
          <w:rPr>
            <w:rStyle w:val="Hyperlink"/>
            <w:rFonts w:ascii="Times New Roman" w:hAnsi="Times New Roman"/>
            <w:b w:val="false"/>
            <w:i w:val="false"/>
            <w:color w:val="000000"/>
            <w:sz w:val="22"/>
          </w:rPr>
          <w:t>9.1(17A,22)</w:t>
        </w:r>
      </w:hyperlink>
      <w:r>
        <w:rPr>
          <w:rFonts w:ascii="Times New Roman" w:hAnsi="Times New Roman"/>
          <w:b w:val="false"/>
          <w:i w:val="false"/>
          <w:color w:val="000000"/>
          <w:sz w:val="22"/>
        </w:rPr>
        <w:t xml:space="preserve">. These records are routinely available to the public. However, the agency’s files of these records may contain confidential information as discussed in rule </w:t>
      </w:r>
      <w:hyperlink r:id="rId31">
        <w:r>
          <w:rPr>
            <w:rStyle w:val="Hyperlink"/>
            <w:rFonts w:ascii="Times New Roman" w:hAnsi="Times New Roman"/>
            <w:b w:val="false"/>
            <w:i w:val="false"/>
            <w:color w:val="000000"/>
            <w:sz w:val="22"/>
          </w:rPr>
          <w:t>9.13(17A,22)</w:t>
        </w:r>
      </w:hyperlink>
      <w:r>
        <w:rPr>
          <w:rFonts w:ascii="Times New Roman" w:hAnsi="Times New Roman"/>
          <w:b w:val="false"/>
          <w:i w:val="false"/>
          <w:color w:val="000000"/>
          <w:sz w:val="22"/>
        </w:rPr>
        <w:t>. The records listed may contain information about individuals.</w:t>
      </w:r>
    </w:p>
    <w:p>
      <w:pPr>
        <w:spacing w:before="0" w:after="0"/>
        <w:ind w:left="120"/>
        <w:jc w:val="both"/>
      </w:pPr>
      <w:r>
        <w:rPr>
          <w:rFonts w:ascii="Times New Roman" w:hAnsi="Times New Roman"/>
          <w:b w:val="false"/>
          <w:i w:val="false"/>
          <w:color w:val="000000"/>
          <w:sz w:val="22"/>
        </w:rPr>
        <w:t xml:space="preserve">Council and commission records. Agendas, minutes, and materials presented to the fair board are available from the office of the fair board, except those records concerning closed sessions which are exempt from disclosure under Iowa Code section </w:t>
      </w:r>
      <w:hyperlink r:id="rId32">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which are otherwise confidential by law. Fair board records contain information about people who participate in meetings. This information is collected pursuant to Iowa Code section </w:t>
      </w:r>
      <w:hyperlink r:id="rId33">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stored on an automated data processing system.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Administrative records. This includes documents concerning budget, property inventory, purchasing, yearly reports, office policies for employees, time sheets, printing and supply requisitions.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Publications. The office receives a number of books, periodicals, newsletters, government documents,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These materials would generally be open to the public but may be protected by copyright law. Most publications of general interest are available in the state law library.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Office publications. This office issues a variety of materials including premium books and newsletters, brochures and pamphlets, press releases, and statistical reports.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Rule-making records. Public documents generated during the promulgation of agency rules, including notices and public comments, are available for public inspection.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Office manuals. Information in office manuals such as the Superintendents Manual may be confidential under Iowa Code section </w:t>
      </w:r>
      <w:hyperlink r:id="rId34">
        <w:r>
          <w:rPr>
            <w:rStyle w:val="Hyperlink"/>
            <w:rFonts w:ascii="Times New Roman" w:hAnsi="Times New Roman"/>
            <w:b w:val="false"/>
            <w:i w:val="false"/>
            <w:color w:val="000000"/>
            <w:sz w:val="22"/>
          </w:rPr>
          <w:t>17A.2(7)</w:t>
        </w:r>
        <w:r>
          <w:rPr>
            <w:rFonts w:ascii="Times New Roman" w:hAnsi="Times New Roman"/>
            <w:b w:val="false"/>
            <w:i/>
            <w:color w:val="000000"/>
            <w:sz w:val="22"/>
          </w:rPr>
          <w:t>“f”</w:t>
        </w:r>
      </w:hyperlink>
      <w:r>
        <w:rPr>
          <w:rFonts w:ascii="Times New Roman" w:hAnsi="Times New Roman"/>
          <w:b w:val="false"/>
          <w:i w:val="false"/>
          <w:color w:val="000000"/>
          <w:sz w:val="22"/>
        </w:rPr>
        <w:t xml:space="preserve"> or other applicable provision of law.</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All other records that are not exempted from disclosure by law.</w:t>
      </w:r>
    </w:p>
    <w:p>
      <w:pPr>
        <w:spacing w:before="210" w:after="0"/>
        <w:ind w:left="120"/>
        <w:jc w:val="both"/>
      </w:pPr>
      <w:r>
        <w:rPr>
          <w:rFonts w:ascii="Times New Roman" w:hAnsi="Times New Roman"/>
          <w:b/>
          <w:i w:val="false"/>
          <w:color w:val="000000"/>
          <w:sz w:val="22"/>
        </w:rPr>
        <w:t>371—9.16</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None of the data processing systems used by the agency permit the comparison of personally identifiable information in one record system with personally identifiable information in another record system.</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5">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8/1/88, Notice 5/18/88—published 8/24/88, effective 9/28/88]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4.pdf" Type="http://schemas.openxmlformats.org/officeDocument/2006/relationships/hyperlink" Id="rId5"/>
    <Relationship TargetMode="External" Target="https://www.legis.iowa.gov/docs/iac/rule/371.9.10.pdf" Type="http://schemas.openxmlformats.org/officeDocument/2006/relationships/hyperlink" Id="rId6"/>
    <Relationship TargetMode="External" Target="https://www.legis.iowa.gov/docs/ico/chapter/2A.3.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ac/rule/371.9.7.pdf" Type="http://schemas.openxmlformats.org/officeDocument/2006/relationships/hyperlink" Id="rId9"/>
    <Relationship TargetMode="External" Target="https://www.legis.iowa.gov/docs/iac/rule/371.9.6.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72.3.pdf" Type="http://schemas.openxmlformats.org/officeDocument/2006/relationships/hyperlink" Id="rId13"/>
    <Relationship TargetMode="External" Target="https://www.legis.iowa.gov/docs/ico/chapter/422.20.pdf" Type="http://schemas.openxmlformats.org/officeDocument/2006/relationships/hyperlink" Id="rId14"/>
    <Relationship TargetMode="External" Target="https://www.legis.iowa.gov/docs/ico/chapter/422.72.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co/chapter/21.5.pdf" Type="http://schemas.openxmlformats.org/officeDocument/2006/relationships/hyperlink" Id="rId17"/>
    <Relationship TargetMode="External" Target="https://www.legis.iowa.gov/docs/ico/chapter/17A.3.pdf" Type="http://schemas.openxmlformats.org/officeDocument/2006/relationships/hyperlink" Id="rId18"/>
    <Relationship TargetMode="External" Target="https://www.legis.iowa.gov/docs/ico/chapter/17A.2.pdf" Type="http://schemas.openxmlformats.org/officeDocument/2006/relationships/hyperlink" Id="rId19"/>
    <Relationship TargetMode="External" Target="https://www.legis.iowa.gov/docs/ico/chapter/17A.3.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622.10.pdf" Type="http://schemas.openxmlformats.org/officeDocument/2006/relationships/hyperlink" Id="rId22"/>
    <Relationship TargetMode="External" Target="https://www.legis.iowa.gov/docs/ico/chapter/622.11.pdf" Type="http://schemas.openxmlformats.org/officeDocument/2006/relationships/hyperlink" Id="rId23"/>
    <Relationship TargetMode="External" Target="https://www.legis.iowa.gov/docs/ico/chapter/622.10.pdf" Type="http://schemas.openxmlformats.org/officeDocument/2006/relationships/hyperlink" Id="rId24"/>
    <Relationship TargetMode="External" Target="https://www.legis.iowa.gov/docs/ico/chapter/622.11.pdf" Type="http://schemas.openxmlformats.org/officeDocument/2006/relationships/hyperlink" Id="rId25"/>
    <Relationship TargetMode="External" Target="https://www.legis.iowa.gov/docs/ico/chapter/22.7.pdf" Type="http://schemas.openxmlformats.org/officeDocument/2006/relationships/hyperlink" Id="rId26"/>
    <Relationship TargetMode="External" Target="https://www.legis.iowa.gov/docs/iac/rule/371.9.4.pdf" Type="http://schemas.openxmlformats.org/officeDocument/2006/relationships/hyperlink" Id="rId27"/>
    <Relationship TargetMode="External" Target="https://www.legis.iowa.gov/docs/iac/rule/371.9.4.pdf" Type="http://schemas.openxmlformats.org/officeDocument/2006/relationships/hyperlink" Id="rId28"/>
    <Relationship TargetMode="External" Target="https://www.legis.iowa.gov/docs/ico/chapter/22.7.pdf" Type="http://schemas.openxmlformats.org/officeDocument/2006/relationships/hyperlink" Id="rId29"/>
    <Relationship TargetMode="External" Target="https://www.legis.iowa.gov/docs/iac/rule/371.9.1.pdf" Type="http://schemas.openxmlformats.org/officeDocument/2006/relationships/hyperlink" Id="rId30"/>
    <Relationship TargetMode="External" Target="https://www.legis.iowa.gov/docs/iac/rule/371.9.13.pdf" Type="http://schemas.openxmlformats.org/officeDocument/2006/relationships/hyperlink" Id="rId31"/>
    <Relationship TargetMode="External" Target="https://www.legis.iowa.gov/docs/ico/chapter/21.5.pdf" Type="http://schemas.openxmlformats.org/officeDocument/2006/relationships/hyperlink" Id="rId32"/>
    <Relationship TargetMode="External" Target="https://www.legis.iowa.gov/docs/ico/chapter/21.3.pdf" Type="http://schemas.openxmlformats.org/officeDocument/2006/relationships/hyperlink" Id="rId33"/>
    <Relationship TargetMode="External" Target="https://www.legis.iowa.gov/docs/ico/chapter/17A.2.pdf" Type="http://schemas.openxmlformats.org/officeDocument/2006/relationships/hyperlink" Id="rId34"/>
    <Relationship TargetMode="External" Target="https://www.legis.iowa.gov/docs/ico/chapter/22.11.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