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WAIVERS FROM ADMINISTRATIVE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7/2/30</w:t>
      </w:r>
    </w:p>
    <w:p>
      <w:pPr>
        <w:spacing w:before="0" w:after="0"/>
        <w:ind w:left="120"/>
        <w:jc w:val="both"/>
      </w:pPr>
      <w:r>
        <w:rPr>
          <w:rFonts w:ascii="Times New Roman" w:hAnsi="Times New Roman"/>
          <w:b/>
          <w:i w:val="false"/>
          <w:color w:val="000000"/>
          <w:sz w:val="22"/>
        </w:rPr>
        <w:t>289—8.1</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school budget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school corporation, government or governmental subdivision or agency, nonpublic school, partnership or association, or any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means action by the director that suspends in whole or in part the requirements or provisions of a rule as applied to an identified person on the basis of the particular circumstances of that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289—8.2</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outlines generally applicable standards and a uniform process for the granting of individual waivers from rules in situations where no other more specifically applicable law provides for waivers. To the extent another more specific provision of law governs the issuance of a waiver from a particular rule, the more specific provision supersedes this chapter with respect to any waiver from that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289—8.3</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Applicability. </w:t>
      </w:r>
      <w:r>
        <w:rPr>
          <w:rFonts w:ascii="Times New Roman" w:hAnsi="Times New Roman"/>
          <w:b w:val="false"/>
          <w:i w:val="false"/>
          <w:color w:val="000000"/>
          <w:sz w:val="22"/>
        </w:rPr>
        <w:t>A waiver from a rule may be granted only if the committee has jurisdiction over the rule and the requested waiver is consistent with applicable statutes, constitutional provisions, or other provisions of law. Statutory duties or requirements created by statute will not be waived.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289—8.4</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In response to a petition completed pursuant to rule </w:t>
      </w:r>
      <w:hyperlink r:id="rId5">
        <w:r>
          <w:rPr>
            <w:rStyle w:val="Hyperlink"/>
            <w:rFonts w:ascii="Times New Roman" w:hAnsi="Times New Roman"/>
            <w:b w:val="false"/>
            <w:i w:val="false"/>
            <w:color w:val="000000"/>
            <w:sz w:val="22"/>
          </w:rPr>
          <w:t>289—8.6</w:t>
        </w:r>
      </w:hyperlink>
      <w:r>
        <w:rPr>
          <w:rFonts w:ascii="Times New Roman" w:hAnsi="Times New Roman"/>
          <w:b w:val="false"/>
          <w:i w:val="false"/>
          <w:color w:val="000000"/>
          <w:sz w:val="22"/>
        </w:rPr>
        <w:t>(17A,ExecOrd11), the committee may, in the committee’s sole discretion, issue an order waiving in whole or in part the requirements of a rule if the committee finds, based on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to the person at issue would result in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the petition for a waiver are not specifically mandated by statute or another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the rule in the specific case would not have a negative impact on the student achievement of any person affected by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289—8.5</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All petitions for waiver must be submitted in writing to the School Budget Review Committee, Grimes State Office Building, 400 East 14th Street, Des Moines, Iowa 50319-0146. If the petition relates to a pending contested case, the petition shall be filed in the contested case proceeding, using the caption of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289—8.6</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each of the five criteria described in rule </w:t>
      </w:r>
      <w:hyperlink r:id="rId6">
        <w:r>
          <w:rPr>
            <w:rStyle w:val="Hyperlink"/>
            <w:rFonts w:ascii="Times New Roman" w:hAnsi="Times New Roman"/>
            <w:b w:val="false"/>
            <w:i w:val="false"/>
            <w:color w:val="000000"/>
            <w:sz w:val="22"/>
          </w:rPr>
          <w:t>289—8.4</w:t>
        </w:r>
      </w:hyperlink>
      <w:r>
        <w:rPr>
          <w:rFonts w:ascii="Times New Roman" w:hAnsi="Times New Roman"/>
          <w:b w:val="false"/>
          <w:i w:val="false"/>
          <w:color w:val="000000"/>
          <w:sz w:val="22"/>
        </w:rPr>
        <w:t>(17A,ExecOrd11).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board, the committee, and the petitioner relating to the regulated activity, license, or grant affected by the proposed waiver, including a description of each affected item held by the requester, any notices of violation, any contested case hearings, or any investigative reports relating to the regulated activity, license, or grant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w:t>
      </w:r>
      <w:r>
        <w:rPr>
          <w:rFonts w:ascii="Times New Roman" w:hAnsi="Times New Roman"/>
          <w:b w:val="false"/>
          <w:i w:val="false"/>
          <w:color w:val="000000"/>
          <w:sz w:val="22"/>
        </w:rPr>
        <w:t> </w:t>
      </w:r>
      <w:r>
        <w:rPr>
          <w:rFonts w:ascii="Times New Roman" w:hAnsi="Times New Roman"/>
          <w:b w:val="false"/>
          <w:i w:val="false"/>
          <w:color w:val="000000"/>
          <w:sz w:val="22"/>
        </w:rPr>
        <w:t>A detailed statement of the impact on student achievement for any person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requester regarding the board’s or committee’s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committee with information relevant to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289—8.7</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committee may request additional information from the petitioner relative to the petition and surrounding circumstances. If the petition was not filed in a contested case, the committee may, on its own motion or at the petitioner’s request, schedule a telephonic or in-person meeting between the petitioner and the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289—8.8</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Notice. </w:t>
      </w:r>
      <w:r>
        <w:rPr>
          <w:rFonts w:ascii="Times New Roman" w:hAnsi="Times New Roman"/>
          <w:b w:val="false"/>
          <w:i w:val="false"/>
          <w:color w:val="000000"/>
          <w:sz w:val="22"/>
        </w:rPr>
        <w:t>The committee shall acknowledge a petition upon receipt. The committee shall ensure that notice of the pendency of the petition and a concise summary of its contents have been provided to all persons to whom notice is required by any provision of law within 30 days of the receipt of the petition. In addition, the committee may give notice to other persons. To accomplish this notice provision, the committee may require the petitioner to serve the notice on all persons to whom notice is required by any provision of law and provide a written statement to the committee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289—8.9</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7">
        <w:r>
          <w:rPr>
            <w:rStyle w:val="Hyperlink"/>
            <w:rFonts w:ascii="Times New Roman" w:hAnsi="Times New Roman"/>
            <w:b w:val="false"/>
            <w:i w:val="false"/>
            <w:color w:val="000000"/>
            <w:sz w:val="22"/>
          </w:rPr>
          <w:t>17A.10 through 17A.18A</w:t>
        </w:r>
      </w:hyperlink>
      <w:r>
        <w:rPr>
          <w:rFonts w:ascii="Times New Roman" w:hAnsi="Times New Roman"/>
          <w:b w:val="false"/>
          <w:i w:val="false"/>
          <w:color w:val="000000"/>
          <w:sz w:val="22"/>
        </w:rPr>
        <w:t xml:space="preserve"> regarding contested case hearings apply in three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w:t>
      </w:r>
      <w:r>
        <w:rPr>
          <w:rFonts w:ascii="Times New Roman" w:hAnsi="Times New Roman"/>
          <w:b w:val="false"/>
          <w:i w:val="false"/>
          <w:color w:val="000000"/>
          <w:sz w:val="22"/>
        </w:rPr>
        <w:t> </w:t>
      </w:r>
      <w:r>
        <w:rPr>
          <w:rFonts w:ascii="Times New Roman" w:hAnsi="Times New Roman"/>
          <w:b w:val="false"/>
          <w:i w:val="false"/>
          <w:color w:val="000000"/>
          <w:sz w:val="22"/>
        </w:rPr>
        <w:t>To any petition for a waiver filed within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w:t>
      </w:r>
      <w:r>
        <w:rPr>
          <w:rFonts w:ascii="Times New Roman" w:hAnsi="Times New Roman"/>
          <w:b w:val="false"/>
          <w:i w:val="false"/>
          <w:color w:val="000000"/>
          <w:sz w:val="22"/>
        </w:rPr>
        <w:t> </w:t>
      </w:r>
      <w:r>
        <w:rPr>
          <w:rFonts w:ascii="Times New Roman" w:hAnsi="Times New Roman"/>
          <w:b w:val="false"/>
          <w:i w:val="false"/>
          <w:color w:val="000000"/>
          <w:sz w:val="22"/>
        </w:rPr>
        <w:t>When provided by rule or order;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w:t>
      </w:r>
      <w:r>
        <w:rPr>
          <w:rFonts w:ascii="Times New Roman" w:hAnsi="Times New Roman"/>
          <w:b w:val="false"/>
          <w:i w:val="false"/>
          <w:color w:val="000000"/>
          <w:sz w:val="22"/>
        </w:rPr>
        <w:t> </w:t>
      </w:r>
      <w:r>
        <w:rPr>
          <w:rFonts w:ascii="Times New Roman" w:hAnsi="Times New Roman"/>
          <w:b w:val="false"/>
          <w:i w:val="false"/>
          <w:color w:val="000000"/>
          <w:sz w:val="22"/>
        </w:rPr>
        <w:t>When required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289—8.10</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the reasons upon which the action is based, and a description of the precise scope and operative period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8.10(1)</w:t>
      </w:r>
      <w:r>
        <w:rPr>
          <w:rFonts w:ascii="Times New Roman" w:hAnsi="Times New Roman"/>
          <w:b w:val="false"/>
          <w:i w:val="false"/>
          <w:color w:val="000000"/>
          <w:sz w:val="22"/>
        </w:rPr>
        <w:t> </w:t>
      </w:r>
      <w:r>
        <w:rPr>
          <w:rFonts w:ascii="Times New Roman" w:hAnsi="Times New Roman"/>
          <w:b w:val="false"/>
          <w:i/>
          <w:color w:val="000000"/>
          <w:sz w:val="22"/>
        </w:rPr>
        <w:t xml:space="preserve">Discretion. </w:t>
      </w:r>
      <w:r>
        <w:rPr>
          <w:rFonts w:ascii="Times New Roman" w:hAnsi="Times New Roman"/>
          <w:b w:val="false"/>
          <w:i w:val="false"/>
          <w:color w:val="000000"/>
          <w:sz w:val="22"/>
        </w:rPr>
        <w:t>The final decision on whether the circumstances justify the granting of a waiver shall be made at the sole discretion of the committee, upon consideration of all relevant factors. Each petition for a waiver shall be evaluated by the committee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committee should exercise the committee’s discretion to grant a waiver from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committee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committee may place any condition on a waiver that the committee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committee, a waiver may be renewed if the committee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committee shall grant or deny a petition for a waiver as soon as practicable but, in any event, shall do so within 120 days of its receipt, unless the petitioner agrees to a later date. However, if a petition is filed in a contested case, the committee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committee to grant or deny a petition within the required time period shall be deemed a denial of that petition by the committee. However, the committee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rule shall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289—8.11</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a waiver petition shall be indexed, filed, and available for public inspection as provided in Iowa Code section </w:t>
      </w:r>
      <w:hyperlink r:id="rId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waiver petitions are public records under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committee may accordingly redact confidential information from petitions or orders prior to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289—8.12</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Cancellation. </w:t>
      </w:r>
      <w:r>
        <w:rPr>
          <w:rFonts w:ascii="Times New Roman" w:hAnsi="Times New Roman"/>
          <w:b w:val="false"/>
          <w:i w:val="false"/>
          <w:color w:val="000000"/>
          <w:sz w:val="22"/>
        </w:rPr>
        <w:t>A waiver issued pursuant to this chapter may be withdrawn, canceled, or modified if, after appropriate notice and hearing, the committee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w:t>
      </w:r>
      <w:r>
        <w:rPr>
          <w:rFonts w:ascii="Times New Roman" w:hAnsi="Times New Roman"/>
          <w:b w:val="false"/>
          <w:i w:val="false"/>
          <w:color w:val="000000"/>
          <w:sz w:val="22"/>
        </w:rPr>
        <w:t> </w:t>
      </w:r>
      <w:r>
        <w:rPr>
          <w:rFonts w:ascii="Times New Roman" w:hAnsi="Times New Roman"/>
          <w:b w:val="false"/>
          <w:i w:val="false"/>
          <w:color w:val="000000"/>
          <w:sz w:val="22"/>
        </w:rPr>
        <w:t>The subject of the waiver order has failed to comply with all conditions contained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289—8.13</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conditions in the waiver approval is the equivalent of violation of the particular rule for which the waiver is granted. As a result, the recipient of a waiver under this chapter who violates a condition of the waiver may be subject to the same remedies or penalties as a person who violates the rule at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289—8.14</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committee issues an order granting a waiver, the order is a defense within its terms and the specific facts indicated therein for the person to whom the order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289—8.15</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committee’s decision to grant or deny a waiver petition may be taken in accordance with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3/15/02, Notice 2/6/02—published 4/3/02, effective 5/8/02]</w:t>
      </w:r>
    </w:p>
    <w:p>
      <w:pPr>
        <w:spacing w:before="0" w:after="0"/>
        <w:ind w:left="120"/>
        <w:jc w:val="center"/>
      </w:pPr>
      <w:r>
        <w:rPr>
          <w:rFonts w:ascii="Times New Roman" w:hAnsi="Times New Roman"/>
          <w:b w:val="false"/>
          <w:i w:val="false"/>
          <w:color w:val="000000"/>
          <w:sz w:val="21"/>
        </w:rPr>
        <w:t>[Filed ARC 9323B</w:t>
      </w:r>
      <w:r>
        <w:rPr>
          <w:rFonts w:ascii="Times New Roman" w:hAnsi="Times New Roman"/>
          <w:b w:val="false"/>
          <w:i w:val="false"/>
          <w:color w:val="000000"/>
          <w:sz w:val="21"/>
        </w:rPr>
        <w:t xml:space="preserve"> (Notice ARC 9126B, IAB 10/6/10)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6019C</w:t>
      </w:r>
      <w:r>
        <w:rPr>
          <w:rFonts w:ascii="Times New Roman" w:hAnsi="Times New Roman"/>
          <w:b w:val="false"/>
          <w:i w:val="false"/>
          <w:color w:val="000000"/>
          <w:sz w:val="21"/>
        </w:rPr>
        <w:t xml:space="preserve"> (Notice ARC 5772C, IAB 7/14/21)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9333C</w:t>
      </w:r>
      <w:r>
        <w:rPr>
          <w:rFonts w:ascii="Times New Roman" w:hAnsi="Times New Roman"/>
          <w:b w:val="false"/>
          <w:i w:val="false"/>
          <w:color w:val="000000"/>
          <w:sz w:val="21"/>
        </w:rPr>
        <w:t xml:space="preserve"> (Notice ARC 9059C, IAB 4/2/25)</w:t>
      </w:r>
      <w:r>
        <w:rPr>
          <w:rFonts w:ascii="Times New Roman" w:hAnsi="Times New Roman"/>
          <w:b w:val="false"/>
          <w:i w:val="false"/>
          <w:color w:val="000000"/>
          <w:sz w:val="21"/>
        </w:rPr>
        <w:t>, IAB 5/28/25, effective 7/2/25]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9.8.6.pdf" Type="http://schemas.openxmlformats.org/officeDocument/2006/relationships/hyperlink" Id="rId5"/>
    <Relationship TargetMode="External" Target="https://www.legis.iowa.gov/docs/iac/rule/289.8.4.pdf" Type="http://schemas.openxmlformats.org/officeDocument/2006/relationships/hyperlink" Id="rId6"/>
    <Relationship TargetMode="External" Target="https://www.legis.iowa.gov/docs/ico/chapter/17A.10-18A.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7A.9A.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