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PUBLIC RECORDS AND FAIR INFORMATION PRACTICES</w:t>
      </w:r>
    </w:p>
    <w:p>
      <w:pPr>
        <w:spacing w:before="0" w:after="0"/>
        <w:ind w:left="120"/>
        <w:jc w:val="center"/>
      </w:pPr>
      <w:r>
        <w:rPr>
          <w:rFonts w:ascii="Times New Roman" w:hAnsi="Times New Roman"/>
          <w:b w:val="false"/>
          <w:i w:val="false"/>
          <w:color w:val="000000"/>
          <w:sz w:val="14"/>
        </w:rPr>
        <w:t>[Prior to 10/17/90, see School Budget Review, 289—1.7(442, 22)]</w:t>
      </w:r>
      <w:r>
        <w:br/>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7/2/30</w:t>
      </w:r>
    </w:p>
    <w:p>
      <w:pPr>
        <w:spacing w:before="0" w:after="0"/>
        <w:ind w:left="120"/>
        <w:jc w:val="both"/>
      </w:pPr>
      <w:r>
        <w:rPr>
          <w:rFonts w:ascii="Times New Roman" w:hAnsi="Times New Roman"/>
          <w:b w:val="false"/>
          <w:i w:val="false"/>
          <w:color w:val="000000"/>
          <w:sz w:val="22"/>
        </w:rPr>
        <w:t xml:space="preserve">The school budget review committee hereby adopts, with the following exceptions and amendments, the Uniform Rules of Agency Procedure relating to public records and fair information practices, which are published at </w:t>
      </w:r>
      <w:hyperlink r:id="rId5">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on the general assembly’s website.</w:t>
      </w:r>
    </w:p>
    <w:p>
      <w:pPr>
        <w:spacing w:before="0" w:after="0"/>
        <w:ind w:left="120"/>
        <w:jc w:val="both"/>
      </w:pPr>
      <w:r>
        <w:rPr>
          <w:rFonts w:ascii="Times New Roman" w:hAnsi="Times New Roman"/>
          <w:b/>
          <w:i w:val="false"/>
          <w:color w:val="000000"/>
          <w:sz w:val="22"/>
        </w:rPr>
        <w:t>289—5.1</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In lieu of the words “(official or body issuing these rules)”, insert “school budget review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9331C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289—5.3</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In lieu of the words “(insert agency head)”, insert “chairperson of the committee”. In lieu of the words “(insert agency name and address)”, insert “School Budget Review Committee, Grimes State Office Building, 400 East 14th Street, Des Moines, Iowa 50319-0146”.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 xml:space="preserve">In lieu of the words “(insert customary hours and, if agency does not have customary office hours of at least thirty hours per week, insert hours specified in Iowa Code section </w:t>
      </w:r>
      <w:hyperlink r:id="rId6">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insert “8 a.m. to 4:30 p.m. daily, excluding Saturdays, Sundays, and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In lieu of the words “(specify time period)”, insert “one-half hour”. In lieu of the words “An agency wishing to deal with search fees authorized by law should do so here”, insert “The committee will give advance notice to the requester if it will be necessary to use an employee with a higher hourly wage in order to find or supervise the particular records in question, and shall indicate the amount of that higher hourly wage to the requester”.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9331C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289—5.6</w:t>
      </w:r>
      <w:r>
        <w:rPr>
          <w:rFonts w:ascii="Times New Roman" w:hAnsi="Times New Roman"/>
          <w:b/>
          <w:i w:val="false"/>
          <w:color w:val="000000"/>
          <w:sz w:val="22"/>
        </w:rPr>
        <w:t xml:space="preserve">(17A)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In lieu of the words “(designate office)”, insert “the office of the chairperson of this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9331C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289—5.9</w:t>
      </w:r>
      <w:r>
        <w:rPr>
          <w:rFonts w:ascii="Times New Roman" w:hAnsi="Times New Roman"/>
          <w:b/>
          <w:i w:val="false"/>
          <w:color w:val="000000"/>
          <w:sz w:val="22"/>
        </w:rPr>
        <w:t xml:space="preserve">(17A) </w:t>
      </w:r>
      <w:r>
        <w:rPr>
          <w:rFonts w:ascii="Times New Roman" w:hAnsi="Times New Roman"/>
          <w:b/>
          <w:i w:val="false"/>
          <w:color w:val="000000"/>
          <w:sz w:val="22"/>
        </w:rPr>
        <w:t xml:space="preserve">Disclosures without the consent of the subject. </w:t>
      </w:r>
      <w:r>
        <w:rPr>
          <w:rFonts w:ascii="Times New Roman" w:hAnsi="Times New Roman"/>
          <w:b w:val="false"/>
          <w:i w:val="false"/>
          <w:color w:val="000000"/>
          <w:sz w:val="22"/>
        </w:rPr>
        <w:t>Open records are routinely disclosed without the consent of the subject.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9331C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289—5.10</w:t>
      </w:r>
      <w:r>
        <w:rPr>
          <w:rFonts w:ascii="Times New Roman" w:hAnsi="Times New Roman"/>
          <w:b/>
          <w:i w:val="false"/>
          <w:color w:val="000000"/>
          <w:sz w:val="22"/>
        </w:rPr>
        <w:t xml:space="preserve">(17A)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5.10(1)</w:t>
      </w:r>
      <w:r>
        <w:rPr>
          <w:rFonts w:ascii="Times New Roman" w:hAnsi="Times New Roman"/>
          <w:b w:val="false"/>
          <w:i w:val="false"/>
          <w:color w:val="000000"/>
          <w:sz w:val="22"/>
        </w:rPr>
        <w:t> </w:t>
      </w:r>
      <w:r>
        <w:rPr>
          <w:rFonts w:ascii="Times New Roman" w:hAnsi="Times New Roman"/>
          <w:b w:val="false"/>
          <w:i w:val="false"/>
          <w:color w:val="000000"/>
          <w:sz w:val="22"/>
        </w:rPr>
        <w:t xml:space="preserve">“Routine use” means the disclosure of a record without the consent of the subject or subjects, for a purpose for which the record was collected. It includes disclosures required to be made by statute other than public records law, Iowa Code chapter </w:t>
      </w:r>
      <w:hyperlink r:id="rId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committee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members of the committee who have a need for the record in the performance of their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to determine whether the agency is operating a program lawfully.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9331C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289—5.11</w:t>
      </w:r>
      <w:r>
        <w:rPr>
          <w:rFonts w:ascii="Times New Roman" w:hAnsi="Times New Roman"/>
          <w:b/>
          <w:i w:val="false"/>
          <w:color w:val="000000"/>
          <w:sz w:val="22"/>
        </w:rPr>
        <w:t xml:space="preserve">(17A)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Agency records are open for public inspection and copying unless otherwise provided by rule or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9331C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289—5.12</w:t>
      </w:r>
      <w:r>
        <w:rPr>
          <w:rFonts w:ascii="Times New Roman" w:hAnsi="Times New Roman"/>
          <w:b/>
          <w:i w:val="false"/>
          <w:color w:val="000000"/>
          <w:sz w:val="22"/>
        </w:rPr>
        <w:t xml:space="preserve">(17A) </w:t>
      </w:r>
      <w:r>
        <w:rPr>
          <w:rFonts w:ascii="Times New Roman" w:hAnsi="Times New Roman"/>
          <w:b/>
          <w:i w:val="false"/>
          <w:color w:val="000000"/>
          <w:sz w:val="22"/>
        </w:rPr>
        <w:t xml:space="preserve">Rulemaking records. </w:t>
      </w:r>
      <w:r>
        <w:rPr>
          <w:rFonts w:ascii="Times New Roman" w:hAnsi="Times New Roman"/>
          <w:b w:val="false"/>
          <w:i w:val="false"/>
          <w:color w:val="000000"/>
          <w:sz w:val="22"/>
        </w:rPr>
        <w:t xml:space="preserve">These records are routinely available to the public and may contain information about individuals making written or oral comments on proposed rules or proposing rules or rule amendments. This information is collected pursuant to Iowa Code sections </w:t>
      </w:r>
      <w:hyperlink r:id="rId8">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These records are stored on paper and not in an automated data processing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9331C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289—5.13</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 require the agency to index or retrieve records that contain information about individuals by that person’s name or other personal identifier.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9331C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17A.22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9/16/88—published 10/5/88, effective 9/16/88]</w:t>
      </w:r>
    </w:p>
    <w:p>
      <w:pPr>
        <w:spacing w:before="0" w:after="0"/>
        <w:ind w:left="120"/>
        <w:jc w:val="center"/>
      </w:pPr>
      <w:r>
        <w:rPr>
          <w:rFonts w:ascii="Times New Roman" w:hAnsi="Times New Roman"/>
          <w:b w:val="false"/>
          <w:i w:val="false"/>
          <w:color w:val="000000"/>
          <w:sz w:val="21"/>
        </w:rPr>
        <w:t>[Filed 12/9/88, Notice 10/5/88—published 12/28/88, effective 2/1/89]</w:t>
      </w:r>
    </w:p>
    <w:p>
      <w:pPr>
        <w:spacing w:before="0" w:after="0"/>
        <w:ind w:left="120"/>
        <w:jc w:val="center"/>
      </w:pPr>
      <w:r>
        <w:rPr>
          <w:rFonts w:ascii="Times New Roman" w:hAnsi="Times New Roman"/>
          <w:b w:val="false"/>
          <w:i w:val="false"/>
          <w:color w:val="000000"/>
          <w:sz w:val="21"/>
        </w:rPr>
        <w:t>[Filed emergency 9/28/90—published 10/17/90, effective 9/28/90]</w:t>
      </w:r>
    </w:p>
    <w:p>
      <w:pPr>
        <w:spacing w:before="0" w:after="0"/>
        <w:ind w:left="120"/>
        <w:jc w:val="center"/>
      </w:pPr>
      <w:r>
        <w:rPr>
          <w:rFonts w:ascii="Times New Roman" w:hAnsi="Times New Roman"/>
          <w:b w:val="false"/>
          <w:i w:val="false"/>
          <w:color w:val="000000"/>
          <w:sz w:val="21"/>
        </w:rPr>
        <w:t>[Filed 12/21/90, Notice 10/17/90—published 1/9/91, effective 2/13/91]</w:t>
      </w:r>
    </w:p>
    <w:p>
      <w:pPr>
        <w:spacing w:before="0" w:after="0"/>
        <w:ind w:left="120"/>
        <w:jc w:val="center"/>
      </w:pPr>
      <w:r>
        <w:rPr>
          <w:rFonts w:ascii="Times New Roman" w:hAnsi="Times New Roman"/>
          <w:b w:val="false"/>
          <w:i w:val="false"/>
          <w:color w:val="000000"/>
          <w:sz w:val="21"/>
        </w:rPr>
        <w:t>[Editorial change: IAC Supplement 10/6/10]</w:t>
      </w:r>
    </w:p>
    <w:p>
      <w:pPr>
        <w:spacing w:before="0" w:after="0"/>
        <w:ind w:left="120"/>
        <w:jc w:val="center"/>
      </w:pPr>
      <w:r>
        <w:rPr>
          <w:rFonts w:ascii="Times New Roman" w:hAnsi="Times New Roman"/>
          <w:b w:val="false"/>
          <w:i w:val="false"/>
          <w:color w:val="000000"/>
          <w:sz w:val="21"/>
        </w:rPr>
        <w:t>[Filed ARC 9331C</w:t>
      </w:r>
      <w:r>
        <w:rPr>
          <w:rFonts w:ascii="Times New Roman" w:hAnsi="Times New Roman"/>
          <w:b w:val="false"/>
          <w:i w:val="false"/>
          <w:color w:val="000000"/>
          <w:sz w:val="21"/>
        </w:rPr>
        <w:t xml:space="preserve"> (Notice ARC 9056C, IAB 4/2/25)</w:t>
      </w:r>
      <w:r>
        <w:rPr>
          <w:rFonts w:ascii="Times New Roman" w:hAnsi="Times New Roman"/>
          <w:b w:val="false"/>
          <w:i w:val="false"/>
          <w:color w:val="000000"/>
          <w:sz w:val="21"/>
        </w:rPr>
        <w:t>, IAB 5/28/25, effective 7/2/25]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Rules/Current/UniformRules.pdf" Type="http://schemas.openxmlformats.org/officeDocument/2006/relationships/hyperlink" Id="rId5"/>
    <Relationship TargetMode="External" Target="https://www.legis.iowa.gov/docs/ico/chapter/22.4.pdf" Type="http://schemas.openxmlformats.org/officeDocument/2006/relationships/hyperlink" Id="rId6"/>
    <Relationship TargetMode="External" Target="https://www.legis.iowa.gov/docs/ico/chapter/22.pdf" Type="http://schemas.openxmlformats.org/officeDocument/2006/relationships/hyperlink" Id="rId7"/>
    <Relationship TargetMode="External" Target="https://www.legis.iowa.gov/docs/ico/chapter/17A.3.pdf" Type="http://schemas.openxmlformats.org/officeDocument/2006/relationships/hyperlink" Id="rId8"/>
    <Relationship TargetMode="External" Target="https://www.legis.iowa.gov/docs/ico/chapter/17A.4.pdf" Type="http://schemas.openxmlformats.org/officeDocument/2006/relationships/hyperlink" Id="rId9"/>
    <Relationship TargetMode="External" Target="https://www.legis.iowa.gov/docs/ico/chapter/17A.7.pdf" Type="http://schemas.openxmlformats.org/officeDocument/2006/relationships/hyperlink" Id="rId10"/>
    <Relationship TargetMode="External" Target="https://www.legis.iowa.gov/docs/ico/chapter/17A.22.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