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10/17/90, see School Budget Review, 289—1.4(442)]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7/2/30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school budget review committee hereby adopts, with the following exceptions and amendments, the Uniform Rules of Agency Procedure relating to petitions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“(designated office)”, insert “the School Budget Review Committee, Grimes State Office Building, 400 East 14th Street, Des Moines, Iowa 50319-0146”. In lieu of the words “(AGENCY NAME)”, the heading on the petition form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“SCHOOL BUDGET REVIEW COMMITTEE”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official by full title and address)”, insert, “Chairperson, School Budget Review Committee, Grimes State Office Building, 400 East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11/23/88, Notice 6/1/88—published 12/14/88, effective 1/18/89]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9/28/90—published 10/17/90, effective 9/28/90]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12/21/90, Notice 10/17/90—published 1/9/91, effective 2/13/91]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10/6/10]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9328C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9057C, IAB 4/2/25)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5/28/25, effective 7/2/25]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