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14"/>
        </w:rPr>
        <w:t>[Prior to 9/14/94, see Public Broadcasting Division[225]]</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Iowa public broadcasting board hereby adopts, with the following exceptions and amendments, rules of the Governor’s Task Force on Uniform Rules of Agency Procedures relating to public records and fair information practices which are printed in the first Volume of the Iowa Administrative Code.</w:t>
      </w:r>
    </w:p>
    <w:p>
      <w:pPr>
        <w:spacing w:before="0" w:after="0"/>
        <w:ind w:left="120"/>
        <w:jc w:val="both"/>
      </w:pPr>
      <w:r>
        <w:rPr>
          <w:rFonts w:ascii="Times New Roman" w:hAnsi="Times New Roman"/>
          <w:b/>
          <w:i w:val="false"/>
          <w:color w:val="000000"/>
          <w:sz w:val="22"/>
        </w:rPr>
        <w:t>288—3.1</w:t>
      </w:r>
      <w:r>
        <w:rPr>
          <w:rFonts w:ascii="Times New Roman" w:hAnsi="Times New Roman"/>
          <w:b/>
          <w:i w:val="false"/>
          <w:color w:val="000000"/>
          <w:sz w:val="22"/>
        </w:rPr>
        <w:t xml:space="preserve">(22)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the public broadcasting division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the Iowa public broadcasting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means the public broadcasting board, the public broadcasting division of the department of education, and Iowa public television.</w:t>
      </w:r>
    </w:p>
    <w:p>
      <w:pPr>
        <w:spacing w:before="0" w:after="0"/>
        <w:ind w:left="120"/>
        <w:jc w:val="both"/>
      </w:pPr>
      <w:r>
        <w:rPr>
          <w:rFonts w:ascii="Times New Roman" w:hAnsi="Times New Roman"/>
          <w:b/>
          <w:i w:val="false"/>
          <w:color w:val="000000"/>
          <w:sz w:val="22"/>
        </w:rPr>
        <w:t>288—3.3</w:t>
      </w:r>
      <w:r>
        <w:rPr>
          <w:rFonts w:ascii="Times New Roman" w:hAnsi="Times New Roman"/>
          <w:b/>
          <w:i w:val="false"/>
          <w:color w:val="000000"/>
          <w:sz w:val="22"/>
        </w:rPr>
        <w:t xml:space="preserve">(22)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should be directed to the Administrator, Public Broadcasting Division, Iowa Public Television, 6450 Corporate Drive, Johnston, Iowa 50131.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all customary office hours, which are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lieu of “(specify time period)” insert “one-half hour”.</w:t>
      </w:r>
    </w:p>
    <w:p>
      <w:pPr>
        <w:spacing w:before="0" w:after="0"/>
        <w:ind w:left="120"/>
        <w:jc w:val="both"/>
      </w:pPr>
      <w:r>
        <w:rPr>
          <w:rFonts w:ascii="Times New Roman" w:hAnsi="Times New Roman"/>
          <w:b/>
          <w:i w:val="false"/>
          <w:color w:val="000000"/>
          <w:sz w:val="22"/>
        </w:rPr>
        <w:t>288—3.9</w:t>
      </w:r>
      <w:r>
        <w:rPr>
          <w:rFonts w:ascii="Times New Roman" w:hAnsi="Times New Roman"/>
          <w:b/>
          <w:i w:val="false"/>
          <w:color w:val="000000"/>
          <w:sz w:val="22"/>
        </w:rPr>
        <w:t xml:space="preserve">(22)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5">
        <w:r>
          <w:rPr>
            <w:rStyle w:val="Hyperlink"/>
            <w:rFonts w:ascii="Times New Roman" w:hAnsi="Times New Roman"/>
            <w:b w:val="false"/>
            <w:i w:val="false"/>
            <w:color w:val="000000"/>
            <w:sz w:val="22"/>
          </w:rPr>
          <w:t>3.10</w:t>
        </w:r>
      </w:hyperlink>
      <w:r>
        <w:rPr>
          <w:rFonts w:ascii="Times New Roman" w:hAnsi="Times New Roman"/>
          <w:b w:val="false"/>
          <w:i w:val="false"/>
          <w:color w:val="000000"/>
          <w:sz w:val="22"/>
        </w:rPr>
        <w:t>(22) or in any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 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6">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288—3.10</w:t>
      </w:r>
      <w:r>
        <w:rPr>
          <w:rFonts w:ascii="Times New Roman" w:hAnsi="Times New Roman"/>
          <w:b/>
          <w:i w:val="false"/>
          <w:color w:val="000000"/>
          <w:sz w:val="22"/>
        </w:rPr>
        <w:t xml:space="preserve">(22)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288—3.11</w:t>
      </w:r>
      <w:r>
        <w:rPr>
          <w:rFonts w:ascii="Times New Roman" w:hAnsi="Times New Roman"/>
          <w:b/>
          <w:i w:val="false"/>
          <w:color w:val="000000"/>
          <w:sz w:val="22"/>
        </w:rPr>
        <w:t xml:space="preserve">(22)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agency disclosure of confidential records as provided in rule </w:t>
      </w:r>
      <w:hyperlink r:id="rId8">
        <w:r>
          <w:rPr>
            <w:rStyle w:val="Hyperlink"/>
            <w:rFonts w:ascii="Times New Roman" w:hAnsi="Times New Roman"/>
            <w:b w:val="false"/>
            <w:i w:val="false"/>
            <w:color w:val="000000"/>
            <w:sz w:val="22"/>
          </w:rPr>
          <w:t>3.7</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288—3.12</w:t>
      </w:r>
      <w:r>
        <w:rPr>
          <w:rFonts w:ascii="Times New Roman" w:hAnsi="Times New Roman"/>
          <w:b/>
          <w:i w:val="false"/>
          <w:color w:val="000000"/>
          <w:sz w:val="22"/>
        </w:rPr>
        <w:t xml:space="preserve">(22)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confidential records about that person as provided in rule </w:t>
      </w:r>
      <w:hyperlink r:id="rId9">
        <w:r>
          <w:rPr>
            <w:rStyle w:val="Hyperlink"/>
            <w:rFonts w:ascii="Times New Roman" w:hAnsi="Times New Roman"/>
            <w:b w:val="false"/>
            <w:i w:val="false"/>
            <w:color w:val="000000"/>
            <w:sz w:val="22"/>
          </w:rPr>
          <w:t>3.6</w:t>
        </w:r>
      </w:hyperlink>
      <w:r>
        <w:rPr>
          <w:rFonts w:ascii="Times New Roman" w:hAnsi="Times New Roman"/>
          <w:b w:val="false"/>
          <w:i w:val="false"/>
          <w:color w:val="000000"/>
          <w:sz w:val="22"/>
        </w:rPr>
        <w:t>(17A,22). However,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10">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(See Iowa Code section </w:t>
      </w:r>
      <w:hyperlink r:id="rId11">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agency may take reasonable steps to protect confidential information relating to another subject.</w:t>
      </w:r>
    </w:p>
    <w:p>
      <w:pPr>
        <w:spacing w:before="0" w:after="0"/>
        <w:ind w:left="120"/>
        <w:jc w:val="both"/>
      </w:pPr>
      <w:r>
        <w:rPr>
          <w:rFonts w:ascii="Times New Roman" w:hAnsi="Times New Roman"/>
          <w:b/>
          <w:i w:val="false"/>
          <w:color w:val="000000"/>
          <w:sz w:val="22"/>
        </w:rPr>
        <w:t>288—3.13</w:t>
      </w:r>
      <w:r>
        <w:rPr>
          <w:rFonts w:ascii="Times New Roman" w:hAnsi="Times New Roman"/>
          <w:b/>
          <w:i w:val="false"/>
          <w:color w:val="000000"/>
          <w:sz w:val="22"/>
        </w:rPr>
        <w:t xml:space="preserve">(22)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(Iowa Code section </w:t>
      </w:r>
      <w:hyperlink r:id="rId12">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(Iowa Code sections </w:t>
      </w:r>
      <w:hyperlink r:id="rId13">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1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(Iowa Code section </w:t>
      </w:r>
      <w:hyperlink r:id="rId16">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17">
        <w:r>
          <w:rPr>
            <w:rStyle w:val="Hyperlink"/>
            <w:rFonts w:ascii="Times New Roman" w:hAnsi="Times New Roman"/>
            <w:b w:val="false"/>
            <w:i w:val="false"/>
            <w:color w:val="000000"/>
            <w:sz w:val="22"/>
          </w:rPr>
          <w:t>17A.3(1)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staff manuals, instructions or other statements issued which set forth criteria or guidelines to be used by agency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Give a clearly improper advantage to persons who are in an adverse position to the agency. (See Iowa Code sections </w:t>
      </w:r>
      <w:hyperlink r:id="rId18">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20">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Civ.</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122(c),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26(b)(3), and case law. Attorney-client communications are confidential under Iowa Code sections </w:t>
      </w:r>
      <w:hyperlink r:id="rId23">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may have discretion to disclose some confidential records which are exempt from disclosure under Iowa Code section </w:t>
      </w:r>
      <w:hyperlink r:id="rId2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these records withheld from inspection under a statute which authorizes limited or discretionary disclosure as provided in rule </w:t>
      </w:r>
      <w:hyperlink r:id="rId26">
        <w:r>
          <w:rPr>
            <w:rStyle w:val="Hyperlink"/>
            <w:rFonts w:ascii="Times New Roman" w:hAnsi="Times New Roman"/>
            <w:b w:val="false"/>
            <w:i w:val="false"/>
            <w:color w:val="000000"/>
            <w:sz w:val="22"/>
          </w:rPr>
          <w:t>3.4</w:t>
        </w:r>
      </w:hyperlink>
      <w:r>
        <w:rPr>
          <w:rFonts w:ascii="Times New Roman" w:hAnsi="Times New Roman"/>
          <w:b w:val="false"/>
          <w:i w:val="false"/>
          <w:color w:val="000000"/>
          <w:sz w:val="22"/>
        </w:rPr>
        <w:t xml:space="preserve">(17A,22). If the agency initially determines that it will release such records, the agency may, where appropriate, notify interested parties and withhold the records from inspection as provided in subrule </w:t>
      </w:r>
      <w:hyperlink r:id="rId27">
        <w:r>
          <w:rPr>
            <w:rStyle w:val="Hyperlink"/>
            <w:rFonts w:ascii="Times New Roman" w:hAnsi="Times New Roman"/>
            <w:b w:val="false"/>
            <w:i w:val="false"/>
            <w:color w:val="000000"/>
            <w:sz w:val="22"/>
          </w:rPr>
          <w:t>3.4(3)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288—3.14</w:t>
      </w:r>
      <w:r>
        <w:rPr>
          <w:rFonts w:ascii="Times New Roman" w:hAnsi="Times New Roman"/>
          <w:b/>
          <w:i w:val="false"/>
          <w:color w:val="000000"/>
          <w:sz w:val="22"/>
        </w:rPr>
        <w:t xml:space="preserve">(22)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28">
        <w:r>
          <w:rPr>
            <w:rStyle w:val="Hyperlink"/>
            <w:rFonts w:ascii="Times New Roman" w:hAnsi="Times New Roman"/>
            <w:b w:val="false"/>
            <w:i w:val="false"/>
            <w:color w:val="000000"/>
            <w:sz w:val="22"/>
          </w:rPr>
          <w:t>3.1</w:t>
        </w:r>
      </w:hyperlink>
      <w:r>
        <w:rPr>
          <w:rFonts w:ascii="Times New Roman" w:hAnsi="Times New Roman"/>
          <w:b w:val="false"/>
          <w:i w:val="false"/>
          <w:color w:val="000000"/>
          <w:sz w:val="22"/>
        </w:rPr>
        <w:t>(17A,22).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3.14(1)</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which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which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3.14(2)</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sections </w:t>
      </w:r>
      <w:hyperlink r:id="rId29">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288—3.15</w:t>
      </w:r>
      <w:r>
        <w:rPr>
          <w:rFonts w:ascii="Times New Roman" w:hAnsi="Times New Roman"/>
          <w:b/>
          <w:i w:val="false"/>
          <w:color w:val="000000"/>
          <w:sz w:val="22"/>
        </w:rPr>
        <w:t xml:space="preserve">(22)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31">
        <w:r>
          <w:rPr>
            <w:rStyle w:val="Hyperlink"/>
            <w:rFonts w:ascii="Times New Roman" w:hAnsi="Times New Roman"/>
            <w:b w:val="false"/>
            <w:i w:val="false"/>
            <w:color w:val="000000"/>
            <w:sz w:val="22"/>
          </w:rPr>
          <w:t>3.1</w:t>
        </w:r>
      </w:hyperlink>
      <w:r>
        <w:rPr>
          <w:rFonts w:ascii="Times New Roman" w:hAnsi="Times New Roman"/>
          <w:b w:val="false"/>
          <w:i w:val="false"/>
          <w:color w:val="000000"/>
          <w:sz w:val="22"/>
        </w:rPr>
        <w:t xml:space="preserve">(17A,22). The records listed may contain information about individuals. Unless otherwise designated, the authority for this office to maintain the record is provided by Iowa Code chapter </w:t>
      </w:r>
      <w:hyperlink r:id="rId32">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 the statutes governing the subject matter of the record, and the enabling statutes of the agency client, where applicable. All records are stored both on paper and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3.15(1)</w:t>
      </w:r>
      <w:r>
        <w:rPr>
          <w:rFonts w:ascii="Times New Roman" w:hAnsi="Times New Roman"/>
          <w:b w:val="false"/>
          <w:i w:val="false"/>
          <w:color w:val="000000"/>
          <w:sz w:val="22"/>
        </w:rPr>
        <w:t> </w:t>
      </w:r>
      <w:r>
        <w:rPr>
          <w:rFonts w:ascii="Times New Roman" w:hAnsi="Times New Roman"/>
          <w:b w:val="false"/>
          <w:i/>
          <w:color w:val="000000"/>
          <w:sz w:val="22"/>
        </w:rPr>
        <w:t xml:space="preserve">Board records. </w:t>
      </w:r>
      <w:r>
        <w:rPr>
          <w:rFonts w:ascii="Times New Roman" w:hAnsi="Times New Roman"/>
          <w:b w:val="false"/>
          <w:i w:val="false"/>
          <w:color w:val="000000"/>
          <w:sz w:val="22"/>
        </w:rPr>
        <w:t xml:space="preserve">Agendas, minutes, and materials presented to the Iowa public broadcasting board are available from the administrator’s office, except those records concerning closed sessions which are exempt from disclosure under Iowa Code section </w:t>
      </w:r>
      <w:hyperlink r:id="rId33">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which are otherwise confidential by law. Board records contain information about people who participate in meetings. This information is collected pursuant to Iowa Code section </w:t>
      </w:r>
      <w:hyperlink r:id="rId34">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records. </w:t>
      </w:r>
      <w:r>
        <w:rPr>
          <w:rFonts w:ascii="Times New Roman" w:hAnsi="Times New Roman"/>
          <w:b w:val="false"/>
          <w:i w:val="false"/>
          <w:color w:val="000000"/>
          <w:sz w:val="22"/>
        </w:rPr>
        <w:t xml:space="preserve">This includes documents concerning budget, property inventory, purchasing, yearly reports, office policies for employees, time sheets, printing and supply requisitions. These records may contain confidential information as discussed in rule </w:t>
      </w:r>
      <w:hyperlink r:id="rId35">
        <w:r>
          <w:rPr>
            <w:rStyle w:val="Hyperlink"/>
            <w:rFonts w:ascii="Times New Roman" w:hAnsi="Times New Roman"/>
            <w:b w:val="false"/>
            <w:i w:val="false"/>
            <w:color w:val="000000"/>
            <w:sz w:val="22"/>
          </w:rPr>
          <w:t>3.13</w:t>
        </w:r>
      </w:hyperlink>
      <w:r>
        <w:rPr>
          <w:rFonts w:ascii="Times New Roman" w:hAnsi="Times New Roman"/>
          <w:b w:val="false"/>
          <w:i w:val="false"/>
          <w:color w:val="000000"/>
          <w:sz w:val="22"/>
        </w:rPr>
        <w:t>(22).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The office receives a number of books, periodicals, newsletters, government documents, and other materials. These materials would generally be open to the public but may be protected by copyright law. Most publications of general interest are available in the state law library.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3.15(4)</w:t>
      </w:r>
      <w:r>
        <w:rPr>
          <w:rFonts w:ascii="Times New Roman" w:hAnsi="Times New Roman"/>
          <w:b w:val="false"/>
          <w:i w:val="false"/>
          <w:color w:val="000000"/>
          <w:sz w:val="22"/>
        </w:rPr>
        <w:t> </w:t>
      </w:r>
      <w:r>
        <w:rPr>
          <w:rFonts w:ascii="Times New Roman" w:hAnsi="Times New Roman"/>
          <w:b w:val="false"/>
          <w:i/>
          <w:color w:val="000000"/>
          <w:sz w:val="22"/>
        </w:rPr>
        <w:t xml:space="preserve">Office publications. </w:t>
      </w:r>
      <w:r>
        <w:rPr>
          <w:rFonts w:ascii="Times New Roman" w:hAnsi="Times New Roman"/>
          <w:b w:val="false"/>
          <w:i w:val="false"/>
          <w:color w:val="000000"/>
          <w:sz w:val="22"/>
        </w:rPr>
        <w:t>This office issues a variety of materials including teacher’s guides, schedule books, brochures and pamphlets, press releases, statistical reports,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These publications are open for public inspection, have no personally identifiable information and may have a charge to obtain.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3.15(5)</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Official documents executed during the promulgation of agency rules and public comments are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3.15(6)</w:t>
      </w:r>
      <w:r>
        <w:rPr>
          <w:rFonts w:ascii="Times New Roman" w:hAnsi="Times New Roman"/>
          <w:b w:val="false"/>
          <w:i w:val="false"/>
          <w:color w:val="000000"/>
          <w:sz w:val="22"/>
        </w:rPr>
        <w:t> </w:t>
      </w:r>
      <w:r>
        <w:rPr>
          <w:rFonts w:ascii="Times New Roman" w:hAnsi="Times New Roman"/>
          <w:b w:val="false"/>
          <w:i/>
          <w:color w:val="000000"/>
          <w:sz w:val="22"/>
        </w:rPr>
        <w:t xml:space="preserve">Office manuals. </w:t>
      </w:r>
      <w:r>
        <w:rPr>
          <w:rFonts w:ascii="Times New Roman" w:hAnsi="Times New Roman"/>
          <w:b w:val="false"/>
          <w:i w:val="false"/>
          <w:color w:val="000000"/>
          <w:sz w:val="22"/>
        </w:rPr>
        <w:t xml:space="preserve">Information in office manuals such as the employee’s manual or desk manuals may be confidential under Iowa Code section </w:t>
      </w:r>
      <w:hyperlink r:id="rId36">
        <w:r>
          <w:rPr>
            <w:rStyle w:val="Hyperlink"/>
            <w:rFonts w:ascii="Times New Roman" w:hAnsi="Times New Roman"/>
            <w:b w:val="false"/>
            <w:i w:val="false"/>
            <w:color w:val="000000"/>
            <w:sz w:val="22"/>
          </w:rPr>
          <w:t>17A.2(10)</w:t>
        </w:r>
        <w:r>
          <w:rPr>
            <w:rFonts w:ascii="Times New Roman" w:hAnsi="Times New Roman"/>
            <w:b w:val="false"/>
            <w:i/>
            <w:color w:val="000000"/>
            <w:sz w:val="22"/>
          </w:rPr>
          <w:t>“f”</w:t>
        </w:r>
      </w:hyperlink>
      <w:r>
        <w:rPr>
          <w:rFonts w:ascii="Times New Roman" w:hAnsi="Times New Roman"/>
          <w:b w:val="false"/>
          <w:i w:val="false"/>
          <w:color w:val="000000"/>
          <w:sz w:val="22"/>
        </w:rPr>
        <w:t xml:space="preserve"> or other applicable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3.15(7)</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exempted from disclosure by law.</w:t>
      </w:r>
    </w:p>
    <w:p>
      <w:pPr>
        <w:spacing w:before="210" w:after="0"/>
        <w:ind w:left="120"/>
        <w:jc w:val="both"/>
      </w:pPr>
      <w:r>
        <w:rPr>
          <w:rFonts w:ascii="Times New Roman" w:hAnsi="Times New Roman"/>
          <w:b/>
          <w:i w:val="false"/>
          <w:color w:val="000000"/>
          <w:sz w:val="22"/>
        </w:rPr>
        <w:t>288—3.16</w:t>
      </w:r>
      <w:r>
        <w:rPr>
          <w:rFonts w:ascii="Times New Roman" w:hAnsi="Times New Roman"/>
          <w:b/>
          <w:i w:val="false"/>
          <w:color w:val="000000"/>
          <w:sz w:val="22"/>
        </w:rPr>
        <w:t xml:space="preserve">(22)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The agency does not currently have a data processing system which matches, collates or permits the comparison of personally identifiable information in one record system with personally identifiable information in another record system.</w:t>
      </w:r>
    </w:p>
    <w:p>
      <w:pPr>
        <w:spacing w:before="0" w:after="0"/>
        <w:ind w:left="120"/>
        <w:jc w:val="both"/>
      </w:pPr>
      <w:r>
        <w:rPr>
          <w:rFonts w:ascii="Times New Roman" w:hAnsi="Times New Roman"/>
          <w:b/>
          <w:i w:val="false"/>
          <w:color w:val="000000"/>
          <w:sz w:val="22"/>
        </w:rPr>
        <w:t>288—3.17</w:t>
      </w:r>
      <w:r>
        <w:rPr>
          <w:rFonts w:ascii="Times New Roman" w:hAnsi="Times New Roman"/>
          <w:b/>
          <w:i w:val="false"/>
          <w:color w:val="000000"/>
          <w:sz w:val="22"/>
        </w:rPr>
        <w:t xml:space="preserve">(22)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 the agency to index or retrieve records which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3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agency which are governed by the regulations of another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by the agency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statutes, rules of discovery, evidentiary privileges, and applicable regulations of the agency.</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8">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7/21/88, Notice 5/4/88—published 8/10/88, effective 9/14/88]</w:t>
      </w:r>
    </w:p>
    <w:p>
      <w:pPr>
        <w:spacing w:before="0" w:after="0"/>
        <w:ind w:left="120"/>
        <w:jc w:val="center"/>
      </w:pPr>
      <w:r>
        <w:rPr>
          <w:rFonts w:ascii="Times New Roman" w:hAnsi="Times New Roman"/>
          <w:b w:val="false"/>
          <w:i w:val="false"/>
          <w:color w:val="000000"/>
          <w:sz w:val="21"/>
        </w:rPr>
        <w:t>[Filed 12/21/88, Notice 10/5/88—published 1/11/89, effective 2/15/89]</w:t>
      </w:r>
    </w:p>
    <w:p>
      <w:pPr>
        <w:spacing w:before="0" w:after="0"/>
        <w:ind w:left="120"/>
        <w:jc w:val="center"/>
      </w:pPr>
      <w:r>
        <w:rPr>
          <w:rFonts w:ascii="Times New Roman" w:hAnsi="Times New Roman"/>
          <w:b w:val="false"/>
          <w:i w:val="false"/>
          <w:color w:val="000000"/>
          <w:sz w:val="21"/>
        </w:rPr>
        <w:t>[Filed 8/23/94, Notice 5/11/94—published 9/14/94, effective 10/19/94]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8.3.10.pdf" Type="http://schemas.openxmlformats.org/officeDocument/2006/relationships/hyperlink" Id="rId5"/>
    <Relationship TargetMode="External" Target="https://www.legis.iowa.gov/docs/ico/chapter/2A.3.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ac/rule/288.3.7.pdf" Type="http://schemas.openxmlformats.org/officeDocument/2006/relationships/hyperlink" Id="rId8"/>
    <Relationship TargetMode="External" Target="https://www.legis.iowa.gov/docs/iac/rule/288.3.6.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72.3.pdf" Type="http://schemas.openxmlformats.org/officeDocument/2006/relationships/hyperlink" Id="rId12"/>
    <Relationship TargetMode="External" Target="https://www.legis.iowa.gov/docs/ico/chapter/422.20.pdf" Type="http://schemas.openxmlformats.org/officeDocument/2006/relationships/hyperlink" Id="rId13"/>
    <Relationship TargetMode="External" Target="https://www.legis.iowa.gov/docs/ico/chapter/422.72.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21.5.pdf" Type="http://schemas.openxmlformats.org/officeDocument/2006/relationships/hyperlink" Id="rId16"/>
    <Relationship TargetMode="External" Target="https://www.legis.iowa.gov/docs/ico/chapter/17A.3.pdf" Type="http://schemas.openxmlformats.org/officeDocument/2006/relationships/hyperlink" Id="rId17"/>
    <Relationship TargetMode="External" Target="https://www.legis.iowa.gov/docs/ico/chapter/17A.2.pdf" Type="http://schemas.openxmlformats.org/officeDocument/2006/relationships/hyperlink" Id="rId18"/>
    <Relationship TargetMode="External" Target="https://www.legis.iowa.gov/docs/ico/chapter/17A.3.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622.10.pdf" Type="http://schemas.openxmlformats.org/officeDocument/2006/relationships/hyperlink" Id="rId21"/>
    <Relationship TargetMode="External" Target="https://www.legis.iowa.gov/docs/ico/chapter/622.11.pdf" Type="http://schemas.openxmlformats.org/officeDocument/2006/relationships/hyperlink" Id="rId22"/>
    <Relationship TargetMode="External" Target="https://www.legis.iowa.gov/docs/ico/chapter/622.10.pdf" Type="http://schemas.openxmlformats.org/officeDocument/2006/relationships/hyperlink" Id="rId23"/>
    <Relationship TargetMode="External" Target="https://www.legis.iowa.gov/docs/ico/chapter/622.11.pdf" Type="http://schemas.openxmlformats.org/officeDocument/2006/relationships/hyperlink" Id="rId24"/>
    <Relationship TargetMode="External" Target="https://www.legis.iowa.gov/docs/ico/chapter/22.7.pdf" Type="http://schemas.openxmlformats.org/officeDocument/2006/relationships/hyperlink" Id="rId25"/>
    <Relationship TargetMode="External" Target="https://www.legis.iowa.gov/docs/iac/rule/288.3.4.pdf" Type="http://schemas.openxmlformats.org/officeDocument/2006/relationships/hyperlink" Id="rId26"/>
    <Relationship TargetMode="External" Target="https://www.legis.iowa.gov/docs/iac/rule/288.3.4.pdf" Type="http://schemas.openxmlformats.org/officeDocument/2006/relationships/hyperlink" Id="rId27"/>
    <Relationship TargetMode="External" Target="https://www.legis.iowa.gov/docs/iac/rule/288.3.1.pdf" Type="http://schemas.openxmlformats.org/officeDocument/2006/relationships/hyperlink" Id="rId28"/>
    <Relationship TargetMode="External" Target="https://www.legis.iowa.gov/docs/ico/chapter/22.7.pdf" Type="http://schemas.openxmlformats.org/officeDocument/2006/relationships/hyperlink" Id="rId29"/>
    <Relationship TargetMode="External" Target="https://www.legis.iowa.gov/docs/ico/chapter/22.7.pdf" Type="http://schemas.openxmlformats.org/officeDocument/2006/relationships/hyperlink" Id="rId30"/>
    <Relationship TargetMode="External" Target="https://www.legis.iowa.gov/docs/iac/rule/288.3.1.pdf" Type="http://schemas.openxmlformats.org/officeDocument/2006/relationships/hyperlink" Id="rId31"/>
    <Relationship TargetMode="External" Target="https://www.legis.iowa.gov/docs/ico/chapter/13.pdf" Type="http://schemas.openxmlformats.org/officeDocument/2006/relationships/hyperlink" Id="rId32"/>
    <Relationship TargetMode="External" Target="https://www.legis.iowa.gov/docs/ico/chapter/21.5.pdf" Type="http://schemas.openxmlformats.org/officeDocument/2006/relationships/hyperlink" Id="rId33"/>
    <Relationship TargetMode="External" Target="https://www.legis.iowa.gov/docs/ico/chapter/21.3.pdf" Type="http://schemas.openxmlformats.org/officeDocument/2006/relationships/hyperlink" Id="rId34"/>
    <Relationship TargetMode="External" Target="https://www.legis.iowa.gov/docs/iac/rule/288.3.13.pdf" Type="http://schemas.openxmlformats.org/officeDocument/2006/relationships/hyperlink" Id="rId35"/>
    <Relationship TargetMode="External" Target="https://www.legis.iowa.gov/docs/ico/chapter/17A.2.pdf" Type="http://schemas.openxmlformats.org/officeDocument/2006/relationships/hyperlink" Id="rId36"/>
    <Relationship TargetMode="External" Target="https://www.legis.iowa.gov/docs/ico/chapter/22.pdf" Type="http://schemas.openxmlformats.org/officeDocument/2006/relationships/hyperlink" Id="rId37"/>
    <Relationship TargetMode="External" Target="https://www.legis.iowa.gov/docs/ico/chapter/22.11.pdf" Type="http://schemas.openxmlformats.org/officeDocument/2006/relationships/hyperlink"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