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288—13.1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Iowa public television.</w:t>
      </w:r>
    </w:p>
    <w:p>
      <w:pPr>
        <w:spacing w:before="0" w:after="0"/>
        <w:ind w:left="120"/>
        <w:jc w:val="both"/>
      </w:pPr>
      <w:r>
        <w:rPr>
          <w:rFonts w:ascii="Times New Roman" w:hAnsi="Times New Roman"/>
          <w:b/>
          <w:i w:val="false"/>
          <w:color w:val="000000"/>
          <w:sz w:val="22"/>
        </w:rPr>
        <w:t>288—13.2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Iowa public television did not preside.</w:t>
      </w:r>
    </w:p>
    <w:p>
      <w:pPr>
        <w:spacing w:before="0" w:after="0"/>
        <w:ind w:left="120"/>
        <w:jc w:val="both"/>
      </w:pPr>
      <w:r>
        <w:rPr>
          <w:rFonts w:ascii="Times New Roman" w:hAnsi="Times New Roman"/>
          <w:b/>
          <w:i w:val="false"/>
          <w:color w:val="000000"/>
          <w:sz w:val="22"/>
        </w:rPr>
        <w:t>288—13.3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288—13.4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288—13.5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agency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agency head, members of multimembered agency head,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15(1), and </w:t>
      </w:r>
      <w:hyperlink r:id="rId7">
        <w:r>
          <w:rPr>
            <w:rStyle w:val="Hyperlink"/>
            <w:rFonts w:ascii="Times New Roman" w:hAnsi="Times New Roman"/>
            <w:b w:val="false"/>
            <w:i w:val="false"/>
            <w:color w:val="000000"/>
            <w:sz w:val="22"/>
          </w:rPr>
          <w:t>rule 13.6(17A)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i w:val="false"/>
          <w:color w:val="000000"/>
          <w:sz w:val="22"/>
        </w:rPr>
        <w:t>288—13.6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agency head or members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agency or its designee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agency or its designee shall issue a written ruling specifying the grounds for its decision within 20 days or such other time period the agency designates after a request for an administrative law judge is filed.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agency.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agency heads and members of multimembered agency heads,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288—13.7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agency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288—13.8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288—13.9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19, and </w:t>
      </w:r>
      <w:hyperlink r:id="rId9">
        <w:r>
          <w:rPr>
            <w:rStyle w:val="Hyperlink"/>
            <w:rFonts w:ascii="Times New Roman" w:hAnsi="Times New Roman"/>
            <w:b w:val="false"/>
            <w:i w:val="false"/>
            <w:color w:val="000000"/>
            <w:sz w:val="22"/>
          </w:rPr>
          <w:t>subrules 13.9(3)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13.23(9)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11">
        <w:r>
          <w:rPr>
            <w:rStyle w:val="Hyperlink"/>
            <w:rFonts w:ascii="Times New Roman" w:hAnsi="Times New Roman"/>
            <w:b w:val="false"/>
            <w:i w:val="false"/>
            <w:color w:val="000000"/>
            <w:sz w:val="22"/>
          </w:rPr>
          <w:t>subrule 13.9(1)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12">
        <w:r>
          <w:rPr>
            <w:rStyle w:val="Hyperlink"/>
            <w:rFonts w:ascii="Times New Roman" w:hAnsi="Times New Roman"/>
            <w:b w:val="false"/>
            <w:i w:val="false"/>
            <w:color w:val="000000"/>
            <w:sz w:val="22"/>
          </w:rPr>
          <w:t>rule 13.25(17A)</w:t>
        </w:r>
      </w:hyperlink>
      <w:r>
        <w:rPr>
          <w:rFonts w:ascii="Times New Roman" w:hAnsi="Times New Roman"/>
          <w:b w:val="false"/>
          <w:i w:val="false"/>
          <w:color w:val="000000"/>
          <w:sz w:val="22"/>
        </w:rPr>
        <w:t xml:space="preserve"> and seek a stay under </w:t>
      </w:r>
      <w:hyperlink r:id="rId13">
        <w:r>
          <w:rPr>
            <w:rStyle w:val="Hyperlink"/>
            <w:rFonts w:ascii="Times New Roman" w:hAnsi="Times New Roman"/>
            <w:b w:val="false"/>
            <w:i w:val="false"/>
            <w:color w:val="000000"/>
            <w:sz w:val="22"/>
          </w:rPr>
          <w:t>rule 13.29(17A)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288—13.11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288—13.12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1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Iowa public television.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Iowa public television,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288—13.13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5">
        <w:r>
          <w:rPr>
            <w:rStyle w:val="Hyperlink"/>
            <w:rFonts w:ascii="Times New Roman" w:hAnsi="Times New Roman"/>
            <w:b w:val="false"/>
            <w:i w:val="false"/>
            <w:color w:val="000000"/>
            <w:sz w:val="22"/>
          </w:rPr>
          <w:t>subrule 13.13(1)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288—13.14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288—13.15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6">
        <w:r>
          <w:rPr>
            <w:rStyle w:val="Hyperlink"/>
            <w:rFonts w:ascii="Times New Roman" w:hAnsi="Times New Roman"/>
            <w:b w:val="false"/>
            <w:i w:val="false"/>
            <w:color w:val="000000"/>
            <w:sz w:val="22"/>
          </w:rPr>
          <w:t>13.28(17A)</w:t>
        </w:r>
      </w:hyperlink>
      <w:r>
        <w:rPr>
          <w:rFonts w:ascii="Times New Roman" w:hAnsi="Times New Roman"/>
          <w:b w:val="false"/>
          <w:i w:val="false"/>
          <w:color w:val="000000"/>
          <w:sz w:val="22"/>
        </w:rPr>
        <w:t xml:space="preserve"> and appeal pursuant to 13.27(17A).</w:t>
      </w:r>
    </w:p>
    <w:p>
      <w:pPr>
        <w:spacing w:before="0" w:after="0"/>
        <w:ind w:left="120"/>
        <w:jc w:val="both"/>
      </w:pPr>
      <w:r>
        <w:rPr>
          <w:rFonts w:ascii="Times New Roman" w:hAnsi="Times New Roman"/>
          <w:b/>
          <w:i w:val="false"/>
          <w:color w:val="000000"/>
          <w:sz w:val="22"/>
        </w:rPr>
        <w:t>288—13.16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executive director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17">
        <w:r>
          <w:rPr>
            <w:rStyle w:val="Hyperlink"/>
            <w:rFonts w:ascii="Times New Roman" w:hAnsi="Times New Roman"/>
            <w:b w:val="false"/>
            <w:i w:val="false"/>
            <w:color w:val="000000"/>
            <w:sz w:val="22"/>
          </w:rPr>
          <w:t>subrule 13.16(2)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288—13.17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288—13.18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agency rules. Unless otherwise provided, a withdrawal shall be with prejudice.</w:t>
      </w:r>
    </w:p>
    <w:p>
      <w:pPr>
        <w:spacing w:before="0" w:after="0"/>
        <w:ind w:left="120"/>
        <w:jc w:val="both"/>
      </w:pPr>
      <w:r>
        <w:rPr>
          <w:rFonts w:ascii="Times New Roman" w:hAnsi="Times New Roman"/>
          <w:b/>
          <w:i w:val="false"/>
          <w:color w:val="000000"/>
          <w:sz w:val="22"/>
        </w:rPr>
        <w:t>288—13.19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288—13.20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288—13.21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288—13.22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or other period of time specified by statute or rule after the date of notification or mailing of the decision, a motion to vacate is filed and served on all parties or an appeal of a decision on the merits is timely initiated within the time provided by </w:t>
      </w:r>
      <w:hyperlink r:id="rId18">
        <w:r>
          <w:rPr>
            <w:rStyle w:val="Hyperlink"/>
            <w:rFonts w:ascii="Times New Roman" w:hAnsi="Times New Roman"/>
            <w:b w:val="false"/>
            <w:i w:val="false"/>
            <w:color w:val="000000"/>
            <w:sz w:val="22"/>
          </w:rPr>
          <w:t>rule 13.27(17A)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or other time specified by the agency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19">
        <w:r>
          <w:rPr>
            <w:rStyle w:val="Hyperlink"/>
            <w:rFonts w:ascii="Times New Roman" w:hAnsi="Times New Roman"/>
            <w:b w:val="false"/>
            <w:i w:val="false"/>
            <w:color w:val="000000"/>
            <w:sz w:val="22"/>
          </w:rPr>
          <w:t>rule 13.25(17A)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20">
        <w:r>
          <w:rPr>
            <w:rStyle w:val="Hyperlink"/>
            <w:rFonts w:ascii="Times New Roman" w:hAnsi="Times New Roman"/>
            <w:b w:val="false"/>
            <w:i w:val="false"/>
            <w:color w:val="000000"/>
            <w:sz w:val="22"/>
          </w:rPr>
          <w:t>rule 13.29(17A)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288—13.23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w:t>
      </w:r>
      <w:hyperlink r:id="rId21">
        <w:r>
          <w:rPr>
            <w:rStyle w:val="Hyperlink"/>
            <w:rFonts w:ascii="Times New Roman" w:hAnsi="Times New Roman"/>
            <w:b w:val="false"/>
            <w:i w:val="false"/>
            <w:color w:val="000000"/>
            <w:sz w:val="22"/>
          </w:rPr>
          <w:t>subrule 13.9(2)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22">
        <w:r>
          <w:rPr>
            <w:rStyle w:val="Hyperlink"/>
            <w:rFonts w:ascii="Times New Roman" w:hAnsi="Times New Roman"/>
            <w:b w:val="false"/>
            <w:i w:val="false"/>
            <w:color w:val="000000"/>
            <w:sz w:val="22"/>
          </w:rPr>
          <w:t>rule 13.12(17A)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23">
        <w:r>
          <w:rPr>
            <w:rStyle w:val="Hyperlink"/>
            <w:rFonts w:ascii="Times New Roman" w:hAnsi="Times New Roman"/>
            <w:b w:val="false"/>
            <w:i w:val="false"/>
            <w:color w:val="000000"/>
            <w:sz w:val="22"/>
          </w:rPr>
          <w:t>subrule 13.23(1)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24">
        <w:r>
          <w:rPr>
            <w:rStyle w:val="Hyperlink"/>
            <w:rFonts w:ascii="Times New Roman" w:hAnsi="Times New Roman"/>
            <w:b w:val="false"/>
            <w:i w:val="false"/>
            <w:color w:val="000000"/>
            <w:sz w:val="22"/>
          </w:rPr>
          <w:t>rule 13.17(17A)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agency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288—13.24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Iowa public television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288—13.25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director. In determining whether to do so, the board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288—13.26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13.26(1)</w:t>
      </w:r>
      <w:r>
        <w:rPr>
          <w:rFonts w:ascii="Times New Roman" w:hAnsi="Times New Roman"/>
          <w:b w:val="false"/>
          <w:i w:val="false"/>
          <w:color w:val="000000"/>
          <w:sz w:val="22"/>
        </w:rPr>
        <w:t> </w:t>
      </w:r>
      <w:r>
        <w:rPr>
          <w:rFonts w:ascii="Times New Roman" w:hAnsi="Times New Roman"/>
          <w:b w:val="false"/>
          <w:i w:val="false"/>
          <w:color w:val="000000"/>
          <w:sz w:val="22"/>
        </w:rPr>
        <w:t>When Iowa public television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Iowa public television does not preside at the reception of evidence, the presiding officer shall make a proposed decision. The proposed decision becomes the final decision of the agency without further proceedings unless there is an appeal to, or review on motion of, Iowa public television within the time provided in </w:t>
      </w:r>
      <w:hyperlink r:id="rId26">
        <w:r>
          <w:rPr>
            <w:rStyle w:val="Hyperlink"/>
            <w:rFonts w:ascii="Times New Roman" w:hAnsi="Times New Roman"/>
            <w:b w:val="false"/>
            <w:i w:val="false"/>
            <w:color w:val="000000"/>
            <w:sz w:val="22"/>
          </w:rPr>
          <w:t>rule 13.27(17A)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288—13.27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Iowa public television.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Iowa public television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i w:val="false"/>
          <w:color w:val="000000"/>
          <w:sz w:val="22"/>
        </w:rPr>
        <w:t>288—13.28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w:t>
      </w:r>
      <w:hyperlink r:id="rId27">
        <w:r>
          <w:rPr>
            <w:rStyle w:val="Hyperlink"/>
            <w:rFonts w:ascii="Times New Roman" w:hAnsi="Times New Roman"/>
            <w:b w:val="false"/>
            <w:i w:val="false"/>
            <w:color w:val="000000"/>
            <w:sz w:val="22"/>
          </w:rPr>
          <w:t>subrule 13.27(4)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Iowa public television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Iowa public television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ind w:left="120"/>
        <w:jc w:val="both"/>
      </w:pPr>
      <w:r>
        <w:rPr>
          <w:rFonts w:ascii="Times New Roman" w:hAnsi="Times New Roman"/>
          <w:b/>
          <w:i w:val="false"/>
          <w:color w:val="000000"/>
          <w:sz w:val="22"/>
        </w:rPr>
        <w:t>288—13.29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Iowa public television for a stay of an order issued in that proceeding or for other temporary remedies, pending review by the agency. The petition shall be filed with the notice of appeal and shall state the reasons justifying a stay or other temporary remedy. The board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Iowa public television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Iowa public television or any other party.</w:t>
      </w:r>
    </w:p>
    <w:p>
      <w:pPr>
        <w:spacing w:before="210" w:after="0"/>
        <w:ind w:left="120"/>
        <w:jc w:val="both"/>
      </w:pPr>
      <w:r>
        <w:rPr>
          <w:rFonts w:ascii="Times New Roman" w:hAnsi="Times New Roman"/>
          <w:b/>
          <w:i w:val="false"/>
          <w:color w:val="000000"/>
          <w:sz w:val="22"/>
        </w:rPr>
        <w:t>288—13.30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288—13.31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 written order in compliance with Iowa Code section </w:t>
      </w:r>
      <w:hyperlink r:id="rId2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7/9/99, Notice 6/2/99—published 7/28/99, effective 9/1/99]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ac/rule/288.13.6.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288.13.9.pdf" Type="http://schemas.openxmlformats.org/officeDocument/2006/relationships/hyperlink" Id="rId9"/>
    <Relationship TargetMode="External" Target="https://www.legis.iowa.gov/docs/iac/rule/288.13.23.pdf" Type="http://schemas.openxmlformats.org/officeDocument/2006/relationships/hyperlink" Id="rId10"/>
    <Relationship TargetMode="External" Target="https://www.legis.iowa.gov/docs/iac/rule/288.13.9.pdf" Type="http://schemas.openxmlformats.org/officeDocument/2006/relationships/hyperlink" Id="rId11"/>
    <Relationship TargetMode="External" Target="https://www.legis.iowa.gov/docs/iac/rule/288.13.25.pdf" Type="http://schemas.openxmlformats.org/officeDocument/2006/relationships/hyperlink" Id="rId12"/>
    <Relationship TargetMode="External" Target="https://www.legis.iowa.gov/docs/iac/rule/288.13.29.pdf" Type="http://schemas.openxmlformats.org/officeDocument/2006/relationships/hyperlink" Id="rId13"/>
    <Relationship TargetMode="External" Target="https://www.legis.iowa.gov/docs/ico/chapter/17A.16.pdf" Type="http://schemas.openxmlformats.org/officeDocument/2006/relationships/hyperlink" Id="rId14"/>
    <Relationship TargetMode="External" Target="https://www.legis.iowa.gov/docs/iac/rule/288.13.13.pdf" Type="http://schemas.openxmlformats.org/officeDocument/2006/relationships/hyperlink" Id="rId15"/>
    <Relationship TargetMode="External" Target="https://www.legis.iowa.gov/docs/iac/rule/288.13.28.pdf" Type="http://schemas.openxmlformats.org/officeDocument/2006/relationships/hyperlink" Id="rId16"/>
    <Relationship TargetMode="External" Target="https://www.legis.iowa.gov/docs/iac/rule/288.13.16.pdf" Type="http://schemas.openxmlformats.org/officeDocument/2006/relationships/hyperlink" Id="rId17"/>
    <Relationship TargetMode="External" Target="https://www.legis.iowa.gov/docs/iac/rule/288.13.27.pdf" Type="http://schemas.openxmlformats.org/officeDocument/2006/relationships/hyperlink" Id="rId18"/>
    <Relationship TargetMode="External" Target="https://www.legis.iowa.gov/docs/iac/rule/288.13.25.pdf" Type="http://schemas.openxmlformats.org/officeDocument/2006/relationships/hyperlink" Id="rId19"/>
    <Relationship TargetMode="External" Target="https://www.legis.iowa.gov/docs/iac/rule/288.13.29.pdf" Type="http://schemas.openxmlformats.org/officeDocument/2006/relationships/hyperlink" Id="rId20"/>
    <Relationship TargetMode="External" Target="https://www.legis.iowa.gov/docs/iac/rule/288.13.9.pdf" Type="http://schemas.openxmlformats.org/officeDocument/2006/relationships/hyperlink" Id="rId21"/>
    <Relationship TargetMode="External" Target="https://www.legis.iowa.gov/docs/iac/rule/288.13.12.pdf" Type="http://schemas.openxmlformats.org/officeDocument/2006/relationships/hyperlink" Id="rId22"/>
    <Relationship TargetMode="External" Target="https://www.legis.iowa.gov/docs/iac/rule/288.13.23.pdf" Type="http://schemas.openxmlformats.org/officeDocument/2006/relationships/hyperlink" Id="rId23"/>
    <Relationship TargetMode="External" Target="https://www.legis.iowa.gov/docs/iac/rule/288.13.17.pdf" Type="http://schemas.openxmlformats.org/officeDocument/2006/relationships/hyperlink" Id="rId24"/>
    <Relationship TargetMode="External" Target="https://www.legis.iowa.gov/docs/ico/chapter/17A.13.pdf" Type="http://schemas.openxmlformats.org/officeDocument/2006/relationships/hyperlink" Id="rId25"/>
    <Relationship TargetMode="External" Target="https://www.legis.iowa.gov/docs/iac/rule/288.13.27.pdf" Type="http://schemas.openxmlformats.org/officeDocument/2006/relationships/hyperlink" Id="rId26"/>
    <Relationship TargetMode="External" Target="https://www.legis.iowa.gov/docs/iac/rule/288.13.27.pdf" Type="http://schemas.openxmlformats.org/officeDocument/2006/relationships/hyperlink" Id="rId27"/>
    <Relationship TargetMode="External" Target="https://www.legis.iowa.gov/docs/ico/chapter/17A.18.pdf" Type="http://schemas.openxmlformats.org/officeDocument/2006/relationships/hyperlink" Id="rId28"/>
    <Relationship TargetMode="External" Target="https://www.legis.iowa.gov/docs/ico/chapter/17A.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