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w:t>
      </w:r>
    </w:p>
    <w:p>
      <w:pPr>
        <w:spacing w:before="0" w:after="0"/>
        <w:ind w:left="120"/>
        <w:jc w:val="center"/>
      </w:pPr>
      <w:r>
        <w:rPr>
          <w:rFonts w:ascii="Times New Roman" w:hAnsi="Times New Roman"/>
          <w:b w:val="false"/>
          <w:i w:val="false"/>
          <w:color w:val="000000"/>
          <w:sz w:val="21"/>
        </w:rPr>
        <w:t>WAIVERS FROM ADMINISTRATIVE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3/11/31</w:t>
      </w:r>
    </w:p>
    <w:p>
      <w:pPr>
        <w:spacing w:before="0" w:after="0"/>
        <w:ind w:left="120"/>
        <w:jc w:val="both"/>
      </w:pPr>
      <w:r>
        <w:rPr>
          <w:rFonts w:ascii="Times New Roman" w:hAnsi="Times New Roman"/>
          <w:b/>
          <w:i w:val="false"/>
          <w:color w:val="000000"/>
          <w:sz w:val="22"/>
        </w:rPr>
        <w:t>283—7.1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17A.9A(5)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283—7.2</w:t>
      </w:r>
      <w:r>
        <w:rPr>
          <w:rFonts w:ascii="Times New Roman" w:hAnsi="Times New Roman"/>
          <w:b/>
          <w:i w:val="false"/>
          <w:color w:val="000000"/>
          <w:sz w:val="22"/>
        </w:rPr>
        <w:t xml:space="preserve">(17A)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commission may grant a waiver of any administrative rule if the waiver is consistent with Iowa Code section </w:t>
      </w:r>
      <w:hyperlink r:id="rId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283—7.3</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filed pursuant to this chapter, the commission may in its sole discretion issue an order waiving in whole or in part the requirements of a rule if the commission finds, based on clear and convincing evidence, that all of the factors listed in Iowa Code section </w:t>
      </w:r>
      <w:hyperlink r:id="rId7">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xml:space="preserve">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283—7.4</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All petitions for waiver are submitted in writing to the Executive Director, College Student Aid Commission, Department of Education, Grimes State Office Building, 400 East 14th Street, Des Moines, Iowa 50319-0146. If the petition relates to a pending contested case, the petition is filed in the contested case proceeding using the caption of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283—7.5</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includes the following information where applicable and known to the requester: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relevant facts that the petitioner believes would justify a waiver under the criteria described in Iowa Code section </w:t>
      </w:r>
      <w:hyperlink r:id="rId8">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This statement includes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7.5(5)</w:t>
      </w:r>
      <w:r>
        <w:rPr>
          <w:rFonts w:ascii="Times New Roman" w:hAnsi="Times New Roman"/>
          <w:b w:val="false"/>
          <w:i w:val="false"/>
          <w:color w:val="000000"/>
          <w:sz w:val="22"/>
        </w:rPr>
        <w:t> </w:t>
      </w:r>
      <w:r>
        <w:rPr>
          <w:rFonts w:ascii="Times New Roman" w:hAnsi="Times New Roman"/>
          <w:b w:val="false"/>
          <w:i w:val="false"/>
          <w:color w:val="000000"/>
          <w:sz w:val="22"/>
        </w:rPr>
        <w:t>A history of any prior contacts between the commission and the petitioner relating to the commission’s programs, contracts, allocations, loans, grants or other activities in which the petitioner has participated or from which the petitioner has received a benefit that are affected by the proposed waiver, including a description of each affected item held by the requester and any notices of violation or noncompliance, contested case hearings, or investigative reports relating to the item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7.5(6)</w:t>
      </w:r>
      <w:r>
        <w:rPr>
          <w:rFonts w:ascii="Times New Roman" w:hAnsi="Times New Roman"/>
          <w:b w:val="false"/>
          <w:i w:val="false"/>
          <w:color w:val="000000"/>
          <w:sz w:val="22"/>
        </w:rPr>
        <w:t> </w:t>
      </w:r>
      <w:r>
        <w:rPr>
          <w:rFonts w:ascii="Times New Roman" w:hAnsi="Times New Roman"/>
          <w:b w:val="false"/>
          <w:i w:val="false"/>
          <w:color w:val="000000"/>
          <w:sz w:val="22"/>
        </w:rPr>
        <w:t>A detailed statement of the impact on student achievement for any person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7.5(7)</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requester regarding the commission’s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7.5(10)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regarding the request to furnish the commission with information relevant to the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283—7.6</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executive director may request additional information from the petitioner relative to the petition and surrounding circumstances. If the petition was not filed in a contested case, the commission or its executive director may, on its own motion or at the petitioner’s request, schedule a telephonic or in-person meeting between the petitioner and the commission’s executive director, a committee of the commission’s staff, or a quorum or committee of the commission’s board to consider the petition for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283—7.7</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commission will acknowledge a petition upon receipt and ensure that, within 30 days of the receipt of the petition, notice of the pendency of the petition and a concise summary of its contents have been provided to all persons to whom notice is necessary by any provision of law. In addition, the commission may give notice to other persons. To accomplish this notice provision, the commission may require the petitioner to serve the notice on all persons to whom notice is required by any provision of law and provide a written statement to the commission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283—7.8</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regarding contested case hearings apply in three situations: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w:t>
      </w:r>
      <w:r>
        <w:rPr>
          <w:rFonts w:ascii="Times New Roman" w:hAnsi="Times New Roman"/>
          <w:b w:val="false"/>
          <w:i w:val="false"/>
          <w:color w:val="000000"/>
          <w:sz w:val="22"/>
        </w:rPr>
        <w:t> </w:t>
      </w:r>
      <w:r>
        <w:rPr>
          <w:rFonts w:ascii="Times New Roman" w:hAnsi="Times New Roman"/>
          <w:b w:val="false"/>
          <w:i w:val="false"/>
          <w:color w:val="000000"/>
          <w:sz w:val="22"/>
        </w:rPr>
        <w:t>To any petition for a waiver filed within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w:t>
      </w:r>
      <w:r>
        <w:rPr>
          <w:rFonts w:ascii="Times New Roman" w:hAnsi="Times New Roman"/>
          <w:b w:val="false"/>
          <w:i w:val="false"/>
          <w:color w:val="000000"/>
          <w:sz w:val="22"/>
        </w:rPr>
        <w:t> </w:t>
      </w:r>
      <w:r>
        <w:rPr>
          <w:rFonts w:ascii="Times New Roman" w:hAnsi="Times New Roman"/>
          <w:b w:val="false"/>
          <w:i w:val="false"/>
          <w:color w:val="000000"/>
          <w:sz w:val="22"/>
        </w:rPr>
        <w:t>When provided by rule or order,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7.8(3)</w:t>
      </w:r>
      <w:r>
        <w:rPr>
          <w:rFonts w:ascii="Times New Roman" w:hAnsi="Times New Roman"/>
          <w:b w:val="false"/>
          <w:i w:val="false"/>
          <w:color w:val="000000"/>
          <w:sz w:val="22"/>
        </w:rPr>
        <w:t> </w:t>
      </w:r>
      <w:r>
        <w:rPr>
          <w:rFonts w:ascii="Times New Roman" w:hAnsi="Times New Roman"/>
          <w:b w:val="false"/>
          <w:i w:val="false"/>
          <w:color w:val="000000"/>
          <w:sz w:val="22"/>
        </w:rPr>
        <w:t>When required to do so by statute.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283—7.9</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will be in writing and will contain a reference to the particular person and rule or portion thereof to which the order pertains, a statement of the relevant facts and reasons upon which the action is based, and a description of the precise scope and operative period of any waiver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final decision on whether the circumstances justify the granting of a waiver is in the sole discretion of the commission,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Code standards. </w:t>
      </w:r>
      <w:r>
        <w:rPr>
          <w:rFonts w:ascii="Times New Roman" w:hAnsi="Times New Roman"/>
          <w:b w:val="false"/>
          <w:i w:val="false"/>
          <w:color w:val="000000"/>
          <w:sz w:val="22"/>
        </w:rPr>
        <w:t xml:space="preserve">The commission applies the standards and burdens in Iowa Code section </w:t>
      </w:r>
      <w:hyperlink r:id="rId11">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commission will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7.9(5)</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commission, a waiver may be renewed if the commission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commission will grant or deny a petition for a waiver as soon as practicable but, in any event, within 120 days of its receipt unless the petitioner agrees to a later date. However, if a petition is filed in a contested case, the commission will grant or deny the petition no later than the time at which the final decision in that contested case is issued. Failure of the commission to grant or deny a petition within the required time period is deemed a denial of that petition by the commission. However, the commission remains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is to be transmitted to the petitioner or the person to whom the order pertains, and to any other person entitled to such notice by any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283—7.10</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The commission will comply with the public availability and filing procedures of Iowa Code section </w:t>
      </w:r>
      <w:hyperlink r:id="rId12">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283—7.11</w:t>
      </w:r>
      <w:r>
        <w:rPr>
          <w:rFonts w:ascii="Times New Roman" w:hAnsi="Times New Roman"/>
          <w:b/>
          <w:i w:val="false"/>
          <w:color w:val="000000"/>
          <w:sz w:val="22"/>
        </w:rPr>
        <w:t xml:space="preserve">(17A) </w:t>
      </w:r>
      <w:r>
        <w:rPr>
          <w:rFonts w:ascii="Times New Roman" w:hAnsi="Times New Roman"/>
          <w:b/>
          <w:i w:val="false"/>
          <w:color w:val="000000"/>
          <w:sz w:val="22"/>
        </w:rPr>
        <w:t xml:space="preserve">After issuance of a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7.11(1)</w:t>
      </w:r>
      <w:r>
        <w:rPr>
          <w:rFonts w:ascii="Times New Roman" w:hAnsi="Times New Roman"/>
          <w:b w:val="false"/>
          <w:i w:val="false"/>
          <w:color w:val="000000"/>
          <w:sz w:val="22"/>
        </w:rPr>
        <w:t> </w:t>
      </w:r>
      <w:r>
        <w:rPr>
          <w:rFonts w:ascii="Times New Roman" w:hAnsi="Times New Roman"/>
          <w:b w:val="false"/>
          <w:i/>
          <w:color w:val="000000"/>
          <w:sz w:val="22"/>
        </w:rPr>
        <w:t xml:space="preserve">Cancellation. </w:t>
      </w:r>
      <w:r>
        <w:rPr>
          <w:rFonts w:ascii="Times New Roman" w:hAnsi="Times New Roman"/>
          <w:b w:val="false"/>
          <w:i w:val="false"/>
          <w:color w:val="000000"/>
          <w:sz w:val="22"/>
        </w:rPr>
        <w:t>A waiver issued pursuant to this chapter may be withdrawn, canceled or modified if, after appropriate notice and hearing, the commission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subject of the waiver order has failed to comply with all conditions contained in the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7.11(2)</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conditions in the waiver approval is the equivalent of a violation of the particular rule for which the waiver is granted. As a result, the recipient of a waiver under this chapter who violates a condition of the waiver may be subject to the same remedies or penalties as a person who violates the rule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7.11(3)</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After the commission issues an order granting a waiver, the order is a defense within its terms and the specific facts indicated therein for the person to whom the order pertains in any proceeding in which the rule in question is sought to be invoked.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7.11(4)</w:t>
      </w:r>
      <w:r>
        <w:rPr>
          <w:rFonts w:ascii="Times New Roman" w:hAnsi="Times New Roman"/>
          <w:b w:val="false"/>
          <w:i w:val="false"/>
          <w:color w:val="000000"/>
          <w:sz w:val="22"/>
        </w:rPr>
        <w:t> </w:t>
      </w:r>
      <w:r>
        <w:rPr>
          <w:rFonts w:ascii="Times New Roman" w:hAnsi="Times New Roman"/>
          <w:b w:val="false"/>
          <w:i/>
          <w:color w:val="000000"/>
          <w:sz w:val="22"/>
        </w:rPr>
        <w:t xml:space="preserve">Judicial review. </w:t>
      </w:r>
      <w:r>
        <w:rPr>
          <w:rFonts w:ascii="Times New Roman" w:hAnsi="Times New Roman"/>
          <w:b w:val="false"/>
          <w:i w:val="false"/>
          <w:color w:val="000000"/>
          <w:sz w:val="22"/>
        </w:rPr>
        <w:t xml:space="preserve">Judicial review of the commission’s decision to grant or deny a waiver petition may be taken in accordance with Iowa Code chapter </w:t>
      </w:r>
      <w:hyperlink r:id="rId1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0045D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10/18/00—published 2/7/01, effective 3/14/01]</w:t>
      </w:r>
    </w:p>
    <w:p>
      <w:pPr>
        <w:spacing w:before="0" w:after="0"/>
        <w:ind w:left="120"/>
        <w:jc w:val="center"/>
      </w:pPr>
      <w:r>
        <w:rPr>
          <w:rFonts w:ascii="Times New Roman" w:hAnsi="Times New Roman"/>
          <w:b w:val="false"/>
          <w:i w:val="false"/>
          <w:color w:val="000000"/>
          <w:sz w:val="21"/>
        </w:rPr>
        <w:t>[Filed 9/24/03, Notice 6/11/03—published 10/15/03, effective 11/19/03]</w:t>
      </w:r>
    </w:p>
    <w:p>
      <w:pPr>
        <w:spacing w:before="0" w:after="0"/>
        <w:ind w:left="120"/>
        <w:jc w:val="center"/>
      </w:pPr>
      <w:r>
        <w:rPr>
          <w:rFonts w:ascii="Times New Roman" w:hAnsi="Times New Roman"/>
          <w:b w:val="false"/>
          <w:i w:val="false"/>
          <w:color w:val="000000"/>
          <w:sz w:val="21"/>
        </w:rPr>
        <w:t>[Filed ARC 1869C</w:t>
      </w:r>
      <w:r>
        <w:rPr>
          <w:rFonts w:ascii="Times New Roman" w:hAnsi="Times New Roman"/>
          <w:b w:val="false"/>
          <w:i w:val="false"/>
          <w:color w:val="000000"/>
          <w:sz w:val="21"/>
        </w:rPr>
        <w:t xml:space="preserve"> (Notice ARC 1689C, IAB 10/29/14)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[Editorial change: IAC Supplement 4/3/24]</w:t>
      </w:r>
    </w:p>
    <w:p>
      <w:pPr>
        <w:spacing w:before="0" w:after="0"/>
        <w:ind w:left="120"/>
        <w:jc w:val="center"/>
      </w:pPr>
      <w:r>
        <w:rPr>
          <w:rFonts w:ascii="Times New Roman" w:hAnsi="Times New Roman"/>
          <w:b w:val="false"/>
          <w:i w:val="false"/>
          <w:color w:val="000000"/>
          <w:sz w:val="21"/>
        </w:rPr>
        <w:t>[Filed ARC 0045D</w:t>
      </w:r>
      <w:r>
        <w:rPr>
          <w:rFonts w:ascii="Times New Roman" w:hAnsi="Times New Roman"/>
          <w:b w:val="false"/>
          <w:i w:val="false"/>
          <w:color w:val="000000"/>
          <w:sz w:val="21"/>
        </w:rPr>
        <w:t xml:space="preserve"> (Notice ARC 9747C, IAB 11/26/25)</w:t>
      </w:r>
      <w:r>
        <w:rPr>
          <w:rFonts w:ascii="Times New Roman" w:hAnsi="Times New Roman"/>
          <w:b w:val="false"/>
          <w:i w:val="false"/>
          <w:color w:val="000000"/>
          <w:sz w:val="21"/>
        </w:rPr>
        <w:t>, IAB 2/4/26, effective 3/11/26]</w:t>
      </w:r>
    </w:p>
    <w:sectPr>
      <w:footerReference r:id="rId15"/>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9A.pdf" Type="http://schemas.openxmlformats.org/officeDocument/2006/relationships/hyperlink" Id="rId5"/>
    <Relationship TargetMode="External" Target="https://www.legis.iowa.gov/docs/ico/chapter/17A.9A.pdf" Type="http://schemas.openxmlformats.org/officeDocument/2006/relationships/hyperlink" Id="rId6"/>
    <Relationship TargetMode="External" Target="https://www.legis.iowa.gov/docs/ico/chapter/17A.9A.pdf" Type="http://schemas.openxmlformats.org/officeDocument/2006/relationships/hyperlink" Id="rId7"/>
    <Relationship TargetMode="External" Target="https://www.legis.iowa.gov/docs/ico/chapter/17A.9A.pdf" Type="http://schemas.openxmlformats.org/officeDocument/2006/relationships/hyperlink" Id="rId8"/>
    <Relationship TargetMode="External" Target="https://www.legis.iowa.gov/docs/ico/chapter/17A.10.pdf" Type="http://schemas.openxmlformats.org/officeDocument/2006/relationships/hyperlink" Id="rId9"/>
    <Relationship TargetMode="External" Target="https://www.legis.iowa.gov/docs/ico/chapter/17A.18A.pdf" Type="http://schemas.openxmlformats.org/officeDocument/2006/relationships/hyperlink" Id="rId10"/>
    <Relationship TargetMode="External" Target="https://www.legis.iowa.gov/docs/ico/chapter/17A.9A.pdf" Type="http://schemas.openxmlformats.org/officeDocument/2006/relationships/hyperlink" Id="rId11"/>
    <Relationship TargetMode="External" Target="https://www.legis.iowa.gov/docs/ico/chapter/17A.9A.pdf" Type="http://schemas.openxmlformats.org/officeDocument/2006/relationships/hyperlink" Id="rId12"/>
    <Relationship TargetMode="External" Target="https://www.legis.iowa.gov/docs/ico/chapter/17A.pdf" Type="http://schemas.openxmlformats.org/officeDocument/2006/relationships/hyperlink" Id="rId13"/>
    <Relationship TargetMode="External" Target="https://www.legis.iowa.gov/docs/ico/chapter/17A.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