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val="false"/>
          <w:i w:val="false"/>
          <w:color w:val="000000"/>
          <w:sz w:val="22"/>
        </w:rPr>
        <w:t xml:space="preserve">The commission hereby adopts, with the following exceptions and amendments, the Uniform Rules on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283—6.1</w:t>
      </w:r>
      <w:r>
        <w:rPr>
          <w:rFonts w:ascii="Times New Roman" w:hAnsi="Times New Roman"/>
          <w:b/>
          <w:i w:val="false"/>
          <w:color w:val="000000"/>
          <w:sz w:val="22"/>
        </w:rPr>
        <w:t xml:space="preserve">(17A,22) </w:t>
      </w:r>
      <w:r>
        <w:rPr>
          <w:rFonts w:ascii="Times New Roman" w:hAnsi="Times New Roman"/>
          <w:b/>
          <w:i w:val="false"/>
          <w:color w:val="000000"/>
          <w:sz w:val="22"/>
        </w:rPr>
        <w:t xml:space="preserve">Exceptions and additions.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color w:val="000000"/>
          <w:sz w:val="22"/>
        </w:rPr>
        <w:t xml:space="preserve">Definition of “agency.” </w:t>
      </w:r>
      <w:r>
        <w:rPr>
          <w:rFonts w:ascii="Times New Roman" w:hAnsi="Times New Roman"/>
          <w:b w:val="false"/>
          <w:i w:val="false"/>
          <w:color w:val="000000"/>
          <w:sz w:val="22"/>
        </w:rPr>
        <w:t>In lieu of the words “(official or body issuing these rules)”, insert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to record. </w:t>
      </w:r>
      <w:r>
        <w:rPr>
          <w:rFonts w:ascii="Times New Roman" w:hAnsi="Times New Roman"/>
          <w:b w:val="false"/>
          <w:i w:val="false"/>
          <w:color w:val="000000"/>
          <w:sz w:val="22"/>
        </w:rPr>
        <w:t>In subrule X.3(1), replace the paragraph with “Requests for access to records of the college student aid commission are to be directed to the Grimes State Office Building, Des Moines, Iowa 50319-0146, regardless of where those records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 subrule X.3(2), insert “8 a.m. to 4:30 p.m. 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In paragraph X.3(7)</w:t>
      </w:r>
      <w:r>
        <w:rPr>
          <w:rFonts w:ascii="Times New Roman" w:hAnsi="Times New Roman"/>
          <w:b w:val="false"/>
          <w:i/>
          <w:color w:val="000000"/>
          <w:sz w:val="22"/>
        </w:rPr>
        <w:t>“c,”</w:t>
      </w:r>
      <w:r>
        <w:rPr>
          <w:rFonts w:ascii="Times New Roman" w:hAnsi="Times New Roman"/>
          <w:b w:val="false"/>
          <w:i w:val="false"/>
          <w:color w:val="000000"/>
          <w:sz w:val="22"/>
        </w:rPr>
        <w:t xml:space="preserve"> in lieu of the words “(specify time period)”, insert “one hour”. The fee will be $60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w:t>
      </w:r>
      <w:r>
        <w:rPr>
          <w:rFonts w:ascii="Times New Roman" w:hAnsi="Times New Roman"/>
          <w:b w:val="false"/>
          <w:i w:val="false"/>
          <w:color w:val="000000"/>
          <w:sz w:val="22"/>
        </w:rPr>
        <w:t> </w:t>
      </w:r>
      <w:r>
        <w:rPr>
          <w:rFonts w:ascii="Times New Roman" w:hAnsi="Times New Roman"/>
          <w:b w:val="false"/>
          <w:i/>
          <w:color w:val="000000"/>
          <w:sz w:val="22"/>
        </w:rPr>
        <w:t xml:space="preserve">Procedure by which additions, dissents, or objections may be entered into certain records. </w:t>
      </w:r>
      <w:r>
        <w:rPr>
          <w:rFonts w:ascii="Times New Roman" w:hAnsi="Times New Roman"/>
          <w:b w:val="false"/>
          <w:i w:val="false"/>
          <w:color w:val="000000"/>
          <w:sz w:val="22"/>
        </w:rPr>
        <w:t>In rule X.6, in lieu of the words “(designate office)”, insert “the executive director of the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the subject of a confidential record. </w:t>
      </w:r>
      <w:r>
        <w:rPr>
          <w:rFonts w:ascii="Times New Roman" w:hAnsi="Times New Roman"/>
          <w:b w:val="false"/>
          <w:i w:val="false"/>
          <w:color w:val="000000"/>
          <w:sz w:val="22"/>
        </w:rPr>
        <w:t>In rule X.7, add the following paragraphs:</w:t>
      </w:r>
    </w:p>
    <w:p>
      <w:pPr>
        <w:spacing w:before="0" w:after="0"/>
        <w:ind w:left="120"/>
        <w:jc w:val="both"/>
      </w:pPr>
      <w:r>
        <w:rPr>
          <w:rFonts w:ascii="Times New Roman" w:hAnsi="Times New Roman"/>
          <w:b/>
          <w:i w:val="false"/>
          <w:color w:val="000000"/>
          <w:sz w:val="22"/>
        </w:rPr>
        <w:t>X.7(1)</w:t>
      </w:r>
      <w:r>
        <w:rPr>
          <w:rFonts w:ascii="Times New Roman" w:hAnsi="Times New Roman"/>
          <w:b w:val="false"/>
          <w:i w:val="false"/>
          <w:color w:val="000000"/>
          <w:sz w:val="22"/>
        </w:rPr>
        <w:t xml:space="preserve"> A letter from a subject of a confidential record to a public official who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X.7(2)</w:t>
      </w:r>
      <w:r>
        <w:rPr>
          <w:rFonts w:ascii="Times New Roman" w:hAnsi="Times New Roman"/>
          <w:b w:val="false"/>
          <w:i w:val="false"/>
          <w:color w:val="000000"/>
          <w:sz w:val="22"/>
        </w:rPr>
        <w:t xml:space="preserve"> The subject of a confidential record may file a written request to review confidential records about that person as provided in rule  </w:t>
      </w:r>
      <w:hyperlink r:id="rId7">
        <w:r>
          <w:rPr>
            <w:rStyle w:val="Hyperlink"/>
            <w:rFonts w:ascii="Times New Roman" w:hAnsi="Times New Roman"/>
            <w:b w:val="false"/>
            <w:i w:val="false"/>
            <w:color w:val="000000"/>
            <w:sz w:val="22"/>
          </w:rPr>
          <w:t>281—5.6</w:t>
        </w:r>
      </w:hyperlink>
      <w:r>
        <w:rPr>
          <w:rFonts w:ascii="Times New Roman" w:hAnsi="Times New Roman"/>
          <w:b w:val="false"/>
          <w:i w:val="false"/>
          <w:color w:val="000000"/>
          <w:sz w:val="22"/>
        </w:rPr>
        <w:t>(22,256). However, the agency need not release records to the subject in the following circumstances: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identity of a person providing information to the agency need not be disclosed directly or indirectly to the subject of the information when the information is authorized to be held confidential pursuant to Iowa Code section </w:t>
      </w:r>
      <w:hyperlink r:id="rId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Records need not be disclosed to the subject when the records are the work product of an attorney or are otherwise privileged.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Peace officers’ investigative reports may be withheld from the subject, except as provided by the Iowa Code. More information can be found in Iowa Code section </w:t>
      </w:r>
      <w:hyperlink r:id="rId9">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As otherwise authorized by law.</w:t>
      </w:r>
    </w:p>
    <w:p>
      <w:pPr>
        <w:spacing w:before="0" w:after="0"/>
        <w:ind w:left="120"/>
        <w:jc w:val="both"/>
      </w:pPr>
      <w:r>
        <w:rPr>
          <w:rFonts w:ascii="Times New Roman" w:hAnsi="Times New Roman"/>
          <w:b/>
          <w:i w:val="false"/>
          <w:color w:val="000000"/>
          <w:sz w:val="22"/>
        </w:rPr>
        <w:t>X.7(3)</w:t>
      </w:r>
      <w:r>
        <w:rPr>
          <w:rFonts w:ascii="Times New Roman" w:hAnsi="Times New Roman"/>
          <w:b w:val="false"/>
          <w:i w:val="false"/>
          <w:color w:val="000000"/>
          <w:sz w:val="22"/>
        </w:rPr>
        <w:t xml:space="preserve"> 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283—6.2</w:t>
      </w:r>
      <w:r>
        <w:rPr>
          <w:rFonts w:ascii="Times New Roman" w:hAnsi="Times New Roman"/>
          <w:b/>
          <w:i w:val="false"/>
          <w:color w:val="000000"/>
          <w:sz w:val="22"/>
        </w:rPr>
        <w:t xml:space="preserve">(22,256)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Records that are not confidential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Records that are confidential will be disclosed outside of the commission only with the consent of the subject of the record or in circumstances in which consent of the subject is not legally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Confidential records may be disclosed without consent of the subject to the extent allowed by law and to the extent to which the need to access the record is compatible with the purpose for which the record was collected. Purposes that fall within this guideline are considered routine uses of confidential records. Under these premises, the following are considered routine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officers, employees, and agents of the commission who have a need for the record in the performance of their employment duties. The custodian of the record may, upon request of an officer or employee or on the custodian’s own initiative, determine what constitutes legitimate need to use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commission, to other state agencies, or to local units of government, as appropriate, to administer the program for which the information is collected.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283—6.3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This rule lists the commission records that are open to the public, those that are confidential, and those that are partially open and partially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 records are listed by category, according to the legal basis for confidential treatment (if any). The commission administers federally funded programs, as well as state programs, and is authorized by Iowa Code section </w:t>
      </w:r>
      <w:hyperlink r:id="rId1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to enforce confidentiality standards for federal law and regulations as are required for receipt of the funds. A single record may contain information from several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The chart indicates whether the record contains personally identifiable information and indicates the legal authority for confidentiality and for the collection of personally identifiable information.</w:t>
      </w:r>
    </w:p>
    <w:tbl>
      <w:tblPr>
        <w:tblW w:w="0" w:type="auto"/>
        <w:tblCellSpacing w:w="0" w:type="auto"/>
        <w:tblBorders>
          <w:top w:val="none"/>
          <w:left w:val="none"/>
          <w:bottom w:val="none"/>
          <w:right w:val="none"/>
          <w:insideH w:val="none"/>
          <w:insideV w:val="none"/>
        </w:tblBorders>
        <w:tblLayout w:type="fixed"/>
      </w:tblPr>
      <w:tblGrid>
        <w:gridCol w:w="757"/>
        <w:gridCol w:w="5024"/>
        <w:gridCol w:w="917"/>
        <w:gridCol w:w="4491"/>
      </w:tblGrid>
      <w:tr>
        <w:trPr>
          <w:trHeight w:val="19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Abbreviations are used in the chart as follows:</w:t>
            </w:r>
          </w:p>
        </w:tc>
      </w:tr>
      <w:tr>
        <w:trPr>
          <w:trHeight w:val="195" w:hRule="atLeast"/>
        </w:trPr>
        <w:tc>
          <w:tcPr>
            <w:tcW w:w="7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Code</w:t>
            </w:r>
          </w:p>
        </w:tc>
        <w:tc>
          <w:tcPr>
            <w:tcW w:w="5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Meaning</w:t>
            </w:r>
          </w:p>
        </w:tc>
        <w:tc>
          <w:tcPr>
            <w:tcW w:w="9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Code</w:t>
            </w:r>
          </w:p>
        </w:tc>
        <w:tc>
          <w:tcPr>
            <w:tcW w:w="4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Meaning</w:t>
            </w:r>
          </w:p>
        </w:tc>
      </w:tr>
      <w:tr>
        <w:trPr>
          <w:trHeight w:val="195" w:hRule="atLeast"/>
        </w:trPr>
        <w:tc>
          <w:tcPr>
            <w:tcW w:w="7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w:t>
            </w:r>
          </w:p>
        </w:tc>
        <w:tc>
          <w:tcPr>
            <w:tcW w:w="5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records are open for public inspection.</w:t>
            </w:r>
          </w:p>
        </w:tc>
        <w:tc>
          <w:tcPr>
            <w:tcW w:w="9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O/C</w:t>
            </w:r>
          </w:p>
        </w:tc>
        <w:tc>
          <w:tcPr>
            <w:tcW w:w="4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record is partially open and partially confidential.</w:t>
            </w:r>
          </w:p>
        </w:tc>
      </w:tr>
      <w:tr>
        <w:trPr>
          <w:trHeight w:val="345" w:hRule="atLeast"/>
        </w:trPr>
        <w:tc>
          <w:tcPr>
            <w:tcW w:w="7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w:t>
            </w:r>
          </w:p>
        </w:tc>
        <w:tc>
          <w:tcPr>
            <w:tcW w:w="502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The records are confidential and are not open to </w:t>
            </w:r>
          </w:p>
          <w:p>
            <w:pPr>
              <w:spacing w:before="0" w:after="0"/>
              <w:ind w:left="268"/>
              <w:jc w:val="left"/>
            </w:pPr>
            <w:r>
              <w:rPr>
                <w:rFonts w:ascii="Times New Roman" w:hAnsi="Times New Roman"/>
                <w:b w:val="false"/>
                <w:i w:val="false"/>
                <w:color w:val="000000"/>
                <w:sz w:val="14"/>
              </w:rPr>
              <w:t>public inspection.</w:t>
            </w:r>
          </w:p>
        </w:tc>
        <w:tc>
          <w:tcPr>
            <w:tcW w:w="9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O/E</w:t>
            </w:r>
          </w:p>
        </w:tc>
        <w:tc>
          <w:tcPr>
            <w:tcW w:w="449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The record is partially open to the public and partially </w:t>
            </w:r>
          </w:p>
          <w:p>
            <w:pPr>
              <w:spacing w:before="0" w:after="0"/>
              <w:ind w:left="268"/>
              <w:jc w:val="left"/>
            </w:pPr>
            <w:r>
              <w:rPr>
                <w:rFonts w:ascii="Times New Roman" w:hAnsi="Times New Roman"/>
                <w:b w:val="false"/>
                <w:i w:val="false"/>
                <w:color w:val="000000"/>
                <w:sz w:val="14"/>
              </w:rPr>
              <w:t>exempt from disclosure.</w:t>
            </w:r>
          </w:p>
        </w:tc>
      </w:tr>
      <w:tr>
        <w:trPr>
          <w:trHeight w:val="510" w:hRule="atLeast"/>
        </w:trPr>
        <w:tc>
          <w:tcPr>
            <w:tcW w:w="7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w:t>
            </w:r>
          </w:p>
        </w:tc>
        <w:tc>
          <w:tcPr>
            <w:tcW w:w="502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The record is exempt from mandatory disclosure to</w:t>
            </w:r>
          </w:p>
          <w:p>
            <w:pPr>
              <w:spacing w:before="0" w:after="0"/>
              <w:ind w:left="268"/>
              <w:jc w:val="left"/>
            </w:pPr>
            <w:r>
              <w:rPr>
                <w:rFonts w:ascii="Times New Roman" w:hAnsi="Times New Roman"/>
                <w:b w:val="false"/>
                <w:i w:val="false"/>
                <w:color w:val="000000"/>
                <w:sz w:val="14"/>
              </w:rPr>
              <w:t>members of the public.</w:t>
            </w:r>
          </w:p>
        </w:tc>
        <w:tc>
          <w:tcPr>
            <w:tcW w:w="9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O/E/C</w:t>
            </w:r>
          </w:p>
        </w:tc>
        <w:tc>
          <w:tcPr>
            <w:tcW w:w="449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The record is partially open to the public, partially </w:t>
            </w:r>
          </w:p>
          <w:p>
            <w:pPr>
              <w:spacing w:before="0" w:after="0"/>
              <w:ind w:left="268"/>
              <w:jc w:val="left"/>
            </w:pPr>
            <w:r>
              <w:rPr>
                <w:rFonts w:ascii="Times New Roman" w:hAnsi="Times New Roman"/>
                <w:b w:val="false"/>
                <w:i w:val="false"/>
                <w:color w:val="000000"/>
                <w:sz w:val="14"/>
              </w:rPr>
              <w:t xml:space="preserve">exempt from disclosure, and partially confidential </w:t>
            </w:r>
          </w:p>
          <w:p>
            <w:pPr>
              <w:spacing w:before="0" w:after="0"/>
              <w:ind w:left="268"/>
              <w:jc w:val="left"/>
            </w:pPr>
            <w:r>
              <w:rPr>
                <w:rFonts w:ascii="Times New Roman" w:hAnsi="Times New Roman"/>
                <w:b w:val="false"/>
                <w:i w:val="false"/>
                <w:color w:val="000000"/>
                <w:sz w:val="14"/>
              </w:rPr>
              <w:t>and not open to the public.</w:t>
            </w:r>
          </w:p>
        </w:tc>
      </w:tr>
      <w:tr>
        <w:trPr>
          <w:trHeight w:val="345" w:hRule="atLeast"/>
        </w:trPr>
        <w:tc>
          <w:tcPr>
            <w:tcW w:w="7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E/C</w:t>
            </w:r>
          </w:p>
        </w:tc>
        <w:tc>
          <w:tcPr>
            <w:tcW w:w="502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The record is exempt from mandatory disclosure to the</w:t>
            </w:r>
          </w:p>
          <w:p>
            <w:pPr>
              <w:spacing w:before="0" w:after="0"/>
              <w:ind w:left="268"/>
              <w:jc w:val="left"/>
            </w:pPr>
            <w:r>
              <w:rPr>
                <w:rFonts w:ascii="Times New Roman" w:hAnsi="Times New Roman"/>
                <w:b w:val="false"/>
                <w:i w:val="false"/>
                <w:color w:val="000000"/>
                <w:sz w:val="14"/>
              </w:rPr>
              <w:t>public and is confidential and not open to public inspection.</w:t>
            </w:r>
          </w:p>
        </w:tc>
        <w:tc>
          <w:tcPr>
            <w:tcW w:w="9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w:t>
            </w:r>
          </w:p>
        </w:tc>
        <w:tc>
          <w:tcPr>
            <w:tcW w:w="4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Not applicable.</w:t>
            </w:r>
          </w:p>
        </w:tc>
      </w:tr>
    </w:tbl>
    <w:tbl>
      <w:tblPr>
        <w:tblW w:w="0" w:type="auto"/>
        <w:tblCellSpacing w:w="0" w:type="auto"/>
        <w:tblBorders>
          <w:top w:val="single" w:color="000000" w:sz="8"/>
          <w:left w:val="none"/>
          <w:bottom w:val="none"/>
          <w:right w:val="none"/>
          <w:insideH w:val="none"/>
          <w:insideV w:val="none"/>
        </w:tblBorders>
        <w:tblLayout w:type="fixed"/>
      </w:tblPr>
      <w:tblGrid>
        <w:gridCol w:w="4745"/>
        <w:gridCol w:w="798"/>
        <w:gridCol w:w="2504"/>
        <w:gridCol w:w="1384"/>
        <w:gridCol w:w="1758"/>
      </w:tblGrid>
      <w:tr>
        <w:trPr>
          <w:trHeight w:val="525" w:hRule="atLeast"/>
        </w:trPr>
        <w:tc>
          <w:tcPr>
            <w:tcW w:w="474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DESCRIPTION OF RECORD</w:t>
            </w:r>
          </w:p>
        </w:tc>
        <w:tc>
          <w:tcPr>
            <w:tcW w:w="798"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TYPE OF RECORD</w:t>
            </w:r>
          </w:p>
        </w:tc>
        <w:tc>
          <w:tcPr>
            <w:tcW w:w="250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LEGAL AUTHORITY FOR CONFIDENTIALITY</w:t>
            </w:r>
          </w:p>
        </w:tc>
        <w:tc>
          <w:tcPr>
            <w:tcW w:w="138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PERSONALLY IDENTIFIABLE INFORMATION</w:t>
            </w:r>
          </w:p>
        </w:tc>
        <w:tc>
          <w:tcPr>
            <w:tcW w:w="1758"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LEGAL AUTHORITY FOR INFORMATION</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Records of Commission, Advisory Council, and Committees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O/E</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11">
              <w:r>
                <w:rPr>
                  <w:rStyle w:val="Hyperlink"/>
                  <w:rFonts w:ascii="Times New Roman" w:hAnsi="Times New Roman"/>
                  <w:b w:val="false"/>
                  <w:i w:val="false"/>
                  <w:color w:val="000000"/>
                  <w:sz w:val="14"/>
                </w:rPr>
                <w:t>21.5</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Rulemaking</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31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Declaratory Ruling Records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12">
              <w:r>
                <w:rPr>
                  <w:rStyle w:val="Hyperlink"/>
                  <w:rFonts w:ascii="Times New Roman" w:hAnsi="Times New Roman"/>
                  <w:b w:val="false"/>
                  <w:i w:val="false"/>
                  <w:color w:val="000000"/>
                  <w:sz w:val="14"/>
                </w:rPr>
                <w:t>22.7</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Rules and Policy Manuals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General Correspondence</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O/E/C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13">
              <w:r>
                <w:rPr>
                  <w:rStyle w:val="Hyperlink"/>
                  <w:rFonts w:ascii="Times New Roman" w:hAnsi="Times New Roman"/>
                  <w:b w:val="false"/>
                  <w:i w:val="false"/>
                  <w:color w:val="000000"/>
                  <w:sz w:val="14"/>
                </w:rPr>
                <w:t>22.7</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Yes</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660" w:hRule="atLeast"/>
        </w:trPr>
        <w:tc>
          <w:tcPr>
            <w:tcW w:w="474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Publications</w:t>
            </w:r>
            <w:r>
              <w:br/>
            </w:r>
          </w:p>
          <w:p>
            <w:pPr>
              <w:spacing w:before="0" w:after="0"/>
              <w:ind w:left="160"/>
              <w:jc w:val="left"/>
            </w:pPr>
            <w:r>
              <w:rPr>
                <w:rFonts w:ascii="Times New Roman" w:hAnsi="Times New Roman"/>
                <w:b w:val="false"/>
                <w:i w:val="false"/>
                <w:color w:val="000000"/>
                <w:sz w:val="14"/>
              </w:rPr>
              <w:t>• General</w:t>
            </w:r>
          </w:p>
          <w:p>
            <w:pPr>
              <w:spacing w:before="0" w:after="0"/>
              <w:ind w:left="160"/>
              <w:jc w:val="left"/>
            </w:pPr>
            <w:r>
              <w:rPr>
                <w:rFonts w:ascii="Times New Roman" w:hAnsi="Times New Roman"/>
                <w:b w:val="false"/>
                <w:i w:val="false"/>
                <w:color w:val="000000"/>
                <w:sz w:val="14"/>
              </w:rPr>
              <w:t>• GSL</w:t>
            </w:r>
          </w:p>
          <w:p>
            <w:pPr>
              <w:spacing w:before="0" w:after="0"/>
              <w:ind w:left="160"/>
              <w:jc w:val="left"/>
            </w:pPr>
            <w:r>
              <w:rPr>
                <w:rFonts w:ascii="Times New Roman" w:hAnsi="Times New Roman"/>
                <w:b w:val="false"/>
                <w:i w:val="false"/>
                <w:color w:val="000000"/>
                <w:sz w:val="14"/>
              </w:rPr>
              <w:t>• Scholarship</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Statistical Reports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Staff Reports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Financial &amp; Administrative Records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O/E/C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14">
              <w:r>
                <w:rPr>
                  <w:rStyle w:val="Hyperlink"/>
                  <w:rFonts w:ascii="Times New Roman" w:hAnsi="Times New Roman"/>
                  <w:b w:val="false"/>
                  <w:i w:val="false"/>
                  <w:color w:val="000000"/>
                  <w:sz w:val="14"/>
                </w:rPr>
                <w:t>22.7</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Yes</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Registration and Approval Records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Contracts and Interagency Agreements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15">
              <w:r>
                <w:rPr>
                  <w:rStyle w:val="Hyperlink"/>
                  <w:rFonts w:ascii="Times New Roman" w:hAnsi="Times New Roman"/>
                  <w:b w:val="false"/>
                  <w:i w:val="false"/>
                  <w:color w:val="000000"/>
                  <w:sz w:val="14"/>
                </w:rPr>
                <w:t>22.7(3)</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Sealed Bids Prior to Public Opening</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16">
              <w:r>
                <w:rPr>
                  <w:rStyle w:val="Hyperlink"/>
                  <w:rFonts w:ascii="Times New Roman" w:hAnsi="Times New Roman"/>
                  <w:b w:val="false"/>
                  <w:i w:val="false"/>
                  <w:color w:val="000000"/>
                  <w:sz w:val="14"/>
                </w:rPr>
                <w:t>22.3</w:t>
              </w:r>
            </w:hyperlink>
            <w:r>
              <w:rPr>
                <w:rFonts w:ascii="Times New Roman" w:hAnsi="Times New Roman"/>
                <w:b w:val="false"/>
                <w:i w:val="false"/>
                <w:color w:val="000000"/>
                <w:sz w:val="14"/>
              </w:rPr>
              <w:t xml:space="preserve">, </w:t>
            </w:r>
            <w:hyperlink r:id="rId17">
              <w:r>
                <w:rPr>
                  <w:rStyle w:val="Hyperlink"/>
                  <w:rFonts w:ascii="Times New Roman" w:hAnsi="Times New Roman"/>
                  <w:b w:val="false"/>
                  <w:i w:val="false"/>
                  <w:color w:val="000000"/>
                  <w:sz w:val="14"/>
                </w:rPr>
                <w:t>22.7</w:t>
              </w:r>
            </w:hyperlink>
            <w:r>
              <w:rPr>
                <w:rFonts w:ascii="Times New Roman" w:hAnsi="Times New Roman"/>
                <w:b w:val="false"/>
                <w:i w:val="false"/>
                <w:color w:val="000000"/>
                <w:sz w:val="14"/>
              </w:rPr>
              <w:t xml:space="preserve"> and </w:t>
            </w:r>
            <w:hyperlink r:id="rId18">
              <w:r>
                <w:rPr>
                  <w:rStyle w:val="Hyperlink"/>
                  <w:rFonts w:ascii="Times New Roman" w:hAnsi="Times New Roman"/>
                  <w:b w:val="false"/>
                  <w:i w:val="false"/>
                  <w:color w:val="000000"/>
                  <w:sz w:val="14"/>
                </w:rPr>
                <w:t>72.3</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Appeal Records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19">
              <w:r>
                <w:rPr>
                  <w:rStyle w:val="Hyperlink"/>
                  <w:rFonts w:ascii="Times New Roman" w:hAnsi="Times New Roman"/>
                  <w:b w:val="false"/>
                  <w:i w:val="false"/>
                  <w:color w:val="000000"/>
                  <w:sz w:val="14"/>
                </w:rPr>
                <w:t>22.7</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Yes</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195" w:hRule="atLeast"/>
        </w:trPr>
        <w:tc>
          <w:tcPr>
            <w:tcW w:w="4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Litigation Files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O/E/C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20">
              <w:r>
                <w:rPr>
                  <w:rStyle w:val="Hyperlink"/>
                  <w:rFonts w:ascii="Times New Roman" w:hAnsi="Times New Roman"/>
                  <w:b w:val="false"/>
                  <w:i w:val="false"/>
                  <w:color w:val="000000"/>
                  <w:sz w:val="14"/>
                </w:rPr>
                <w:t>22.7</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Yes</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510" w:hRule="atLeast"/>
        </w:trPr>
        <w:tc>
          <w:tcPr>
            <w:tcW w:w="474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Privileged Communication and Products of</w:t>
            </w:r>
          </w:p>
          <w:p>
            <w:pPr>
              <w:spacing w:before="0" w:after="0"/>
              <w:ind w:left="268"/>
              <w:jc w:val="left"/>
            </w:pPr>
            <w:r>
              <w:rPr>
                <w:rFonts w:ascii="Times New Roman" w:hAnsi="Times New Roman"/>
                <w:b w:val="false"/>
                <w:i w:val="false"/>
                <w:color w:val="000000"/>
                <w:sz w:val="14"/>
              </w:rPr>
              <w:t>Attorneys Representing the Commission</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Iowa Code 22.7, Iowa Code of Professional Responsibility for Lawyers, Canon 4</w:t>
            </w:r>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510" w:hRule="atLeast"/>
        </w:trPr>
        <w:tc>
          <w:tcPr>
            <w:tcW w:w="474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Individual Applicant/Recipient Records (such as those </w:t>
            </w:r>
          </w:p>
          <w:p>
            <w:pPr>
              <w:spacing w:before="0" w:after="0"/>
              <w:ind w:left="268"/>
              <w:jc w:val="left"/>
            </w:pPr>
            <w:r>
              <w:rPr>
                <w:rFonts w:ascii="Times New Roman" w:hAnsi="Times New Roman"/>
                <w:b w:val="false"/>
                <w:i w:val="false"/>
                <w:color w:val="000000"/>
                <w:sz w:val="14"/>
              </w:rPr>
              <w:t>collected under the Iowa Tuition Grant and Iowa Vocational-Technical Tuition Grant Programs)</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Iowa Code </w:t>
            </w:r>
            <w:hyperlink r:id="rId21">
              <w:r>
                <w:rPr>
                  <w:rStyle w:val="Hyperlink"/>
                  <w:rFonts w:ascii="Times New Roman" w:hAnsi="Times New Roman"/>
                  <w:b w:val="false"/>
                  <w:i w:val="false"/>
                  <w:color w:val="000000"/>
                  <w:sz w:val="14"/>
                </w:rPr>
                <w:t>22.7</w:t>
              </w:r>
            </w:hyperlink>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Yes</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Sec. 428[b-c] and Sec. 488[c]</w:t>
            </w:r>
          </w:p>
        </w:tc>
      </w:tr>
      <w:tr>
        <w:trPr>
          <w:trHeight w:val="510" w:hRule="atLeast"/>
        </w:trPr>
        <w:tc>
          <w:tcPr>
            <w:tcW w:w="474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State and Federal Program Records (such as those </w:t>
            </w:r>
          </w:p>
          <w:p>
            <w:pPr>
              <w:spacing w:before="0" w:after="0"/>
              <w:ind w:left="268"/>
              <w:jc w:val="left"/>
            </w:pPr>
            <w:r>
              <w:rPr>
                <w:rFonts w:ascii="Times New Roman" w:hAnsi="Times New Roman"/>
                <w:b w:val="false"/>
                <w:i w:val="false"/>
                <w:color w:val="000000"/>
                <w:sz w:val="14"/>
              </w:rPr>
              <w:t xml:space="preserve">maintained under the Iowa Tuition Grant Program and the John R. Justice Student Loan Repayment Program) </w:t>
            </w:r>
          </w:p>
        </w:tc>
        <w:tc>
          <w:tcPr>
            <w:tcW w:w="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p>
        </w:tc>
        <w:tc>
          <w:tcPr>
            <w:tcW w:w="25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3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w:t>
            </w:r>
          </w:p>
        </w:tc>
        <w:tc>
          <w:tcPr>
            <w:tcW w:w="17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283—6.4</w:t>
      </w:r>
      <w:r>
        <w:rPr>
          <w:rFonts w:ascii="Times New Roman" w:hAnsi="Times New Roman"/>
          <w:b/>
          <w:i w:val="false"/>
          <w:color w:val="000000"/>
          <w:sz w:val="22"/>
        </w:rPr>
        <w:t xml:space="preserve">(22,256)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Compel the commission to create a record that does not otherwise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Require the commission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Iowa Code chapter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disclosure or notification of or access to records in the possession of the commission that are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commission in reasonable anticipation of court litigation or formal administrative proceedings. The availability of such records to the general public or to any individual or party subject to such litigation or proceedings is governed by applicable legal and constitutional principles, statutes, rules of discovery, evidentiary privileges, and applicable rules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5/13/88, Notice 4/6/88—published 6/1/88, effective 7/6/88]</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1869C</w:t>
      </w:r>
      <w:r>
        <w:rPr>
          <w:rFonts w:ascii="Times New Roman" w:hAnsi="Times New Roman"/>
          <w:b w:val="false"/>
          <w:i w:val="false"/>
          <w:color w:val="000000"/>
          <w:sz w:val="21"/>
        </w:rPr>
        <w:t xml:space="preserve"> (Notice ARC 1689C, IAB 10/29/14)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p>
      <w:pPr>
        <w:spacing w:before="0" w:after="0"/>
        <w:ind w:left="120"/>
        <w:jc w:val="center"/>
      </w:pPr>
      <w:r>
        <w:rPr>
          <w:rFonts w:ascii="Times New Roman" w:hAnsi="Times New Roman"/>
          <w:b w:val="false"/>
          <w:i w:val="false"/>
          <w:color w:val="000000"/>
          <w:sz w:val="21"/>
        </w:rPr>
        <w:t>[Filed ARC 0044D</w:t>
      </w:r>
      <w:r>
        <w:rPr>
          <w:rFonts w:ascii="Times New Roman" w:hAnsi="Times New Roman"/>
          <w:b w:val="false"/>
          <w:i w:val="false"/>
          <w:color w:val="000000"/>
          <w:sz w:val="21"/>
        </w:rPr>
        <w:t xml:space="preserve"> (Notice ARC 9746C, IAB 11/26/25)</w:t>
      </w:r>
      <w:r>
        <w:rPr>
          <w:rFonts w:ascii="Times New Roman" w:hAnsi="Times New Roman"/>
          <w:b w:val="false"/>
          <w:i w:val="false"/>
          <w:color w:val="000000"/>
          <w:sz w:val="21"/>
        </w:rPr>
        <w:t>, IAB 2/4/26, effective 3/11/26]</w:t>
      </w:r>
    </w:p>
    <w:sectPr>
      <w:footerReference r:id="rId2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rule/281.5.6.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9.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3.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72.3.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co/chapter/17A.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