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DUE PROCESS AND CONTESTED CASES</w:t>
      </w:r>
    </w:p>
    <w:p>
      <w:pPr>
        <w:spacing w:before="0" w:after="0"/>
        <w:ind w:left="120"/>
        <w:jc w:val="center"/>
      </w:pPr>
      <w:r>
        <w:rPr>
          <w:rFonts w:ascii="Times New Roman" w:hAnsi="Times New Roman"/>
          <w:b w:val="false"/>
          <w:i w:val="false"/>
          <w:color w:val="000000"/>
          <w:sz w:val="14"/>
        </w:rPr>
        <w:t>[Prior to 8/10/88, see College Aid Commission, 245—Ch 11]</w:t>
      </w:r>
    </w:p>
    <w:p>
      <w:pPr>
        <w:spacing w:before="0" w:after="0"/>
        <w:ind w:left="120"/>
        <w:jc w:val="center"/>
      </w:pPr>
      <w:r>
        <w:rPr>
          <w:rFonts w:ascii="Times New Roman" w:hAnsi="Times New Roman"/>
          <w:b w:val="false"/>
          <w:i w:val="false"/>
          <w:color w:val="000000"/>
          <w:sz w:val="14"/>
        </w:rPr>
        <w:t>[Prior to 10/15/03, see 283—Ch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283—4.1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17A.9A(5)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283—4.2</w:t>
      </w:r>
      <w:r>
        <w:rPr>
          <w:rFonts w:ascii="Times New Roman" w:hAnsi="Times New Roman"/>
          <w:b/>
          <w:i w:val="false"/>
          <w:color w:val="000000"/>
          <w:sz w:val="22"/>
        </w:rPr>
        <w:t xml:space="preserve">(256) </w:t>
      </w:r>
      <w:r>
        <w:rPr>
          <w:rFonts w:ascii="Times New Roman" w:hAnsi="Times New Roman"/>
          <w:b/>
          <w:i w:val="false"/>
          <w:color w:val="000000"/>
          <w:sz w:val="22"/>
        </w:rPr>
        <w:t xml:space="preserve">Appeals. </w:t>
      </w:r>
      <w:r>
        <w:rPr>
          <w:rFonts w:ascii="Times New Roman" w:hAnsi="Times New Roman"/>
          <w:b w:val="false"/>
          <w:i w:val="false"/>
          <w:color w:val="000000"/>
          <w:sz w:val="22"/>
        </w:rPr>
        <w:t>This rule describes procedures for appeal to commission decisions covering eligibility for state financial aid awards, adjustment in award amounts, refunds of awards, and institutional eligibility for participation in state financial aid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Administrative staff of the commission shall make all decisions in accordance with established policies and published administrative rules approved by the commission and shall notify the concerned individual or institution of these decisions within a reasonable time after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If an individual, institution, or any duly appointed representative thereof disagrees with a staff decision, written evidence setting forth the reasons for disagreement shall be presented to the executive director of the commission. The evidence must be presented within 60 days after notification of the staff decision, and the appellant may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hearing is requested, the executive director will consider all evidence provided and will notify the appellant within 30 days whether the decision is retracted, modified or upheld. The appellant will be advised of the appellant’s right to carry the appeal to a meeting of the full commission or to an appeals panel appointed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hearing is requested, the executive director will follow the contested case procedures in rule </w:t>
      </w:r>
      <w:hyperlink r:id="rId6">
        <w:r>
          <w:rPr>
            <w:rStyle w:val="Hyperlink"/>
            <w:rFonts w:ascii="Times New Roman" w:hAnsi="Times New Roman"/>
            <w:b w:val="false"/>
            <w:i w:val="false"/>
            <w:color w:val="000000"/>
            <w:sz w:val="22"/>
          </w:rPr>
          <w:t>283—4.3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283—4.3</w:t>
      </w:r>
      <w:r>
        <w:rPr>
          <w:rFonts w:ascii="Times New Roman" w:hAnsi="Times New Roman"/>
          <w:b/>
          <w:i w:val="false"/>
          <w:color w:val="000000"/>
          <w:sz w:val="22"/>
        </w:rPr>
        <w:t xml:space="preserve">(17A)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commission adopts, with the exceptions and amendments noted in rule </w:t>
      </w:r>
      <w:hyperlink r:id="rId7">
        <w:r>
          <w:rPr>
            <w:rStyle w:val="Hyperlink"/>
            <w:rFonts w:ascii="Times New Roman" w:hAnsi="Times New Roman"/>
            <w:b w:val="false"/>
            <w:i w:val="false"/>
            <w:color w:val="000000"/>
            <w:sz w:val="22"/>
          </w:rPr>
          <w:t>283—4.4</w:t>
        </w:r>
      </w:hyperlink>
      <w:r>
        <w:rPr>
          <w:rFonts w:ascii="Times New Roman" w:hAnsi="Times New Roman"/>
          <w:b w:val="false"/>
          <w:i w:val="false"/>
          <w:color w:val="000000"/>
          <w:sz w:val="22"/>
        </w:rPr>
        <w:t xml:space="preserve">(17A), the Uniform Rules on Agency Procedure relating to contested cases, which are published at </w:t>
      </w:r>
      <w:hyperlink r:id="rId8">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283—4.4</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concerning contested cases. </w:t>
      </w:r>
      <w:r>
        <w:rPr>
          <w:rFonts w:ascii="Times New Roman" w:hAnsi="Times New Roman"/>
          <w:b w:val="false"/>
          <w:i w:val="false"/>
          <w:color w:val="000000"/>
          <w:sz w:val="22"/>
        </w:rPr>
        <w:t>For purposes of the Uniform Rules on Agency Procedure relating to declaratory orders, the following amendments and exceptions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lieu of “(agency name)”, insert “college student aid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lieu of “(designate official)”, insert “Executive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256.178</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3/9/82, Notice 1/6/82—published 3/31/82, effective 5/5/82]</w:t>
      </w:r>
    </w:p>
    <w:p>
      <w:pPr>
        <w:spacing w:before="0" w:after="0"/>
        <w:ind w:left="120"/>
        <w:jc w:val="center"/>
      </w:pPr>
      <w:r>
        <w:rPr>
          <w:rFonts w:ascii="Times New Roman" w:hAnsi="Times New Roman"/>
          <w:b w:val="false"/>
          <w:i w:val="false"/>
          <w:color w:val="000000"/>
          <w:sz w:val="21"/>
        </w:rPr>
        <w:t>[Filed emergency 8/16/85—published 9/11/85, effective 8/23/85]</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0043D</w:t>
      </w:r>
      <w:r>
        <w:rPr>
          <w:rFonts w:ascii="Times New Roman" w:hAnsi="Times New Roman"/>
          <w:b w:val="false"/>
          <w:i w:val="false"/>
          <w:color w:val="000000"/>
          <w:sz w:val="21"/>
        </w:rPr>
        <w:t xml:space="preserve"> (Notice ARC 9740C, IAB 11/26/25)</w:t>
      </w:r>
      <w:r>
        <w:rPr>
          <w:rFonts w:ascii="Times New Roman" w:hAnsi="Times New Roman"/>
          <w:b w:val="false"/>
          <w:i w:val="false"/>
          <w:color w:val="000000"/>
          <w:sz w:val="21"/>
        </w:rPr>
        <w:t>, IAB 2/4/26, effective 3/11/26]</w:t>
      </w:r>
    </w:p>
    <w:sectPr>
      <w:footerReference r:id="rId1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ac/rule/283.4.3.pdf" Type="http://schemas.openxmlformats.org/officeDocument/2006/relationships/hyperlink" Id="rId6"/>
    <Relationship TargetMode="External" Target="https://www.legis.iowa.gov/docs/iac/rule/283.4.4.pdf" Type="http://schemas.openxmlformats.org/officeDocument/2006/relationships/hyperlink" Id="rId7"/>
    <Relationship TargetMode="External" Target="http://www.legis.iowa.gov/DOCS/Rules/Current/UniformRules.pdf" Type="http://schemas.openxmlformats.org/officeDocument/2006/relationships/hyperlink" Id="rId8"/>
    <Relationship TargetMode="External" Target="https://www.legis.iowa.gov/docs/ico/chapter/256.178.pdf" Type="http://schemas.openxmlformats.org/officeDocument/2006/relationships/hyperlink" Id="rId9"/>
    <Relationship TargetMode="External" Target="https://www.legis.iowa.gov/docs/ico/chapter/17A.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