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DECLARATORY ORDERS</w:t>
      </w:r>
    </w:p>
    <w:p>
      <w:pPr>
        <w:spacing w:before="0" w:after="0"/>
        <w:ind w:left="120"/>
        <w:jc w:val="center"/>
      </w:pPr>
      <w:r>
        <w:rPr>
          <w:rFonts w:ascii="Times New Roman" w:hAnsi="Times New Roman"/>
          <w:b w:val="false"/>
          <w:i w:val="false"/>
          <w:color w:val="000000"/>
          <w:sz w:val="14"/>
        </w:rPr>
        <w:t>[Prior to 8/10/88, see College Aid Commission, 245—13.4 and 13.5]</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val="false"/>
          <w:i w:val="false"/>
          <w:color w:val="000000"/>
          <w:sz w:val="22"/>
        </w:rPr>
        <w:t xml:space="preserve">The college student aid commission adopts, with the exceptions and amendments noted in rule </w:t>
      </w:r>
      <w:hyperlink r:id="rId5">
        <w:r>
          <w:rPr>
            <w:rStyle w:val="Hyperlink"/>
            <w:rFonts w:ascii="Times New Roman" w:hAnsi="Times New Roman"/>
            <w:b w:val="false"/>
            <w:i w:val="false"/>
            <w:color w:val="000000"/>
            <w:sz w:val="22"/>
          </w:rPr>
          <w:t>283—3.1</w:t>
        </w:r>
      </w:hyperlink>
      <w:r>
        <w:rPr>
          <w:rFonts w:ascii="Times New Roman" w:hAnsi="Times New Roman"/>
          <w:b w:val="false"/>
          <w:i w:val="false"/>
          <w:color w:val="000000"/>
          <w:sz w:val="22"/>
        </w:rPr>
        <w:t xml:space="preserve">(17A), the Uniform Rules on Agency Procedure relating to declaratory orders, which are published at </w:t>
      </w:r>
      <w:hyperlink r:id="rId6">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0042D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283—3.1</w:t>
      </w:r>
      <w:r>
        <w:rPr>
          <w:rFonts w:ascii="Times New Roman" w:hAnsi="Times New Roman"/>
          <w:b/>
          <w:i w:val="false"/>
          <w:color w:val="000000"/>
          <w:sz w:val="22"/>
        </w:rPr>
        <w:t xml:space="preserve">(17A) </w:t>
      </w:r>
      <w:r>
        <w:rPr>
          <w:rFonts w:ascii="Times New Roman" w:hAnsi="Times New Roman"/>
          <w:b/>
          <w:i w:val="false"/>
          <w:color w:val="000000"/>
          <w:sz w:val="22"/>
        </w:rPr>
        <w:t xml:space="preserve">Additional information concerning declaratory orders. </w:t>
      </w:r>
      <w:r>
        <w:rPr>
          <w:rFonts w:ascii="Times New Roman" w:hAnsi="Times New Roman"/>
          <w:b w:val="false"/>
          <w:i w:val="false"/>
          <w:color w:val="000000"/>
          <w:sz w:val="22"/>
        </w:rPr>
        <w:t>For purposes of the Uniform Rules on Agency Procedure relating to declaratory orders, the following amendments and exceptions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lieu of “(designate agency)”, insert “college student aid commission”.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lieu of “(designate office)”, insert “Grimes State Office Building, Second Floor, 400 East 14th Street, Des Moines, Iowa 50319-0146”.</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lieu of “______days (15 or less)”, insert “15 days”.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 lieu of “______ days”, insert “15 days”.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 lieu of “(designate official by full title and address)”, insert “Executive Director of the College Student Aid Commission, Iowa Department of Education, Grimes State Office Building, Second Floor, 400 East 14th Street, Des Moines, Iowa 50319-0146”.</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 lieu of “(specify office and address)”, insert “Executive Director of the College Student Aid Commission, Iowa Department of Education, Grimes State Office Building, Second Floor, 400 East 14th Street, Des Moines, Iowa 50319-0146”.</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Method of service, time of filing, proof of mailing, the date of issuance of an order, and a refusal to issue an order are governed by </w:t>
      </w:r>
      <w:hyperlink r:id="rId7">
        <w:r>
          <w:rPr>
            <w:rStyle w:val="Hyperlink"/>
            <w:rFonts w:ascii="Times New Roman" w:hAnsi="Times New Roman"/>
            <w:b w:val="false"/>
            <w:i w:val="false"/>
            <w:color w:val="000000"/>
            <w:sz w:val="22"/>
          </w:rPr>
          <w:t>283—Chapter 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0042D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3/9/82, Notice 1/20/82—published 3/31/82, effective 5/5/82]</w:t>
      </w:r>
    </w:p>
    <w:p>
      <w:pPr>
        <w:spacing w:before="0" w:after="0"/>
        <w:ind w:left="120"/>
        <w:jc w:val="center"/>
      </w:pPr>
      <w:r>
        <w:rPr>
          <w:rFonts w:ascii="Times New Roman" w:hAnsi="Times New Roman"/>
          <w:b w:val="false"/>
          <w:i w:val="false"/>
          <w:color w:val="000000"/>
          <w:sz w:val="21"/>
        </w:rPr>
        <w:t>[Filed 4/16/87, Notice 2/11/87—published 5/6/87, effective 6/10/87]</w:t>
      </w:r>
    </w:p>
    <w:p>
      <w:pPr>
        <w:spacing w:before="0" w:after="0"/>
        <w:ind w:left="120"/>
        <w:jc w:val="center"/>
      </w:pPr>
      <w:r>
        <w:rPr>
          <w:rFonts w:ascii="Times New Roman" w:hAnsi="Times New Roman"/>
          <w:b w:val="false"/>
          <w:i w:val="false"/>
          <w:color w:val="000000"/>
          <w:sz w:val="21"/>
        </w:rPr>
        <w:t>[Filed 7/22/88, Notice 3/9/88—published 8/10/88, effective 9/14/88]</w:t>
      </w:r>
    </w:p>
    <w:p>
      <w:pPr>
        <w:spacing w:before="0" w:after="0"/>
        <w:ind w:left="120"/>
        <w:jc w:val="center"/>
      </w:pPr>
      <w:r>
        <w:rPr>
          <w:rFonts w:ascii="Times New Roman" w:hAnsi="Times New Roman"/>
          <w:b w:val="false"/>
          <w:i w:val="false"/>
          <w:color w:val="000000"/>
          <w:sz w:val="21"/>
        </w:rPr>
        <w:t>[Filed 5/28/99, Notice 3/10/99—published 6/16/99, effective 7/21/99]</w:t>
      </w:r>
    </w:p>
    <w:p>
      <w:pPr>
        <w:spacing w:before="0" w:after="0"/>
        <w:ind w:left="120"/>
        <w:jc w:val="center"/>
      </w:pPr>
      <w:r>
        <w:rPr>
          <w:rFonts w:ascii="Times New Roman" w:hAnsi="Times New Roman"/>
          <w:b w:val="false"/>
          <w:i w:val="false"/>
          <w:color w:val="000000"/>
          <w:sz w:val="21"/>
        </w:rPr>
        <w:t>[Filed 9/24/03, Notice 6/11/03—published 10/15/03, effective 11/19/03]</w:t>
      </w:r>
    </w:p>
    <w:p>
      <w:pPr>
        <w:spacing w:before="0" w:after="0"/>
        <w:ind w:left="120"/>
        <w:jc w:val="center"/>
      </w:pPr>
      <w:r>
        <w:rPr>
          <w:rFonts w:ascii="Times New Roman" w:hAnsi="Times New Roman"/>
          <w:b w:val="false"/>
          <w:i w:val="false"/>
          <w:color w:val="000000"/>
          <w:sz w:val="21"/>
        </w:rPr>
        <w:t>[Filed ARC 1490C</w:t>
      </w:r>
      <w:r>
        <w:rPr>
          <w:rFonts w:ascii="Times New Roman" w:hAnsi="Times New Roman"/>
          <w:b w:val="false"/>
          <w:i w:val="false"/>
          <w:color w:val="000000"/>
          <w:sz w:val="21"/>
        </w:rPr>
        <w:t xml:space="preserve"> (Notice ARC 1346C, IAB 2/19/14)</w:t>
      </w:r>
      <w:r>
        <w:rPr>
          <w:rFonts w:ascii="Times New Roman" w:hAnsi="Times New Roman"/>
          <w:b w:val="false"/>
          <w:i w:val="false"/>
          <w:color w:val="000000"/>
          <w:sz w:val="21"/>
        </w:rPr>
        <w:t>, IAB 6/11/14, effective 7/30/14]</w:t>
      </w:r>
    </w:p>
    <w:p>
      <w:pPr>
        <w:spacing w:before="0" w:after="0"/>
        <w:ind w:left="120"/>
        <w:jc w:val="center"/>
      </w:pPr>
      <w:r>
        <w:rPr>
          <w:rFonts w:ascii="Times New Roman" w:hAnsi="Times New Roman"/>
          <w:b w:val="false"/>
          <w:i w:val="false"/>
          <w:color w:val="000000"/>
          <w:sz w:val="21"/>
        </w:rPr>
        <w:t>[Editorial change: IAC Supplement 2/10/21]</w:t>
      </w:r>
    </w:p>
    <w:p>
      <w:pPr>
        <w:spacing w:before="0" w:after="0"/>
        <w:ind w:left="120"/>
        <w:jc w:val="center"/>
      </w:pPr>
      <w:r>
        <w:rPr>
          <w:rFonts w:ascii="Times New Roman" w:hAnsi="Times New Roman"/>
          <w:b w:val="false"/>
          <w:i w:val="false"/>
          <w:color w:val="000000"/>
          <w:sz w:val="21"/>
        </w:rPr>
        <w:t>[Editorial change: IAC Supplement 4/3/24]</w:t>
      </w:r>
    </w:p>
    <w:p>
      <w:pPr>
        <w:spacing w:before="0" w:after="0"/>
        <w:ind w:left="120"/>
        <w:jc w:val="center"/>
      </w:pPr>
      <w:r>
        <w:rPr>
          <w:rFonts w:ascii="Times New Roman" w:hAnsi="Times New Roman"/>
          <w:b w:val="false"/>
          <w:i w:val="false"/>
          <w:color w:val="000000"/>
          <w:sz w:val="21"/>
        </w:rPr>
        <w:t>[Filed ARC 0042D</w:t>
      </w:r>
      <w:r>
        <w:rPr>
          <w:rFonts w:ascii="Times New Roman" w:hAnsi="Times New Roman"/>
          <w:b w:val="false"/>
          <w:i w:val="false"/>
          <w:color w:val="000000"/>
          <w:sz w:val="21"/>
        </w:rPr>
        <w:t xml:space="preserve"> (Notice ARC 9739C, IAB 11/26/25)</w:t>
      </w:r>
      <w:r>
        <w:rPr>
          <w:rFonts w:ascii="Times New Roman" w:hAnsi="Times New Roman"/>
          <w:b w:val="false"/>
          <w:i w:val="false"/>
          <w:color w:val="000000"/>
          <w:sz w:val="21"/>
        </w:rPr>
        <w:t>, IAB 2/4/26, effective 3/11/26]</w:t>
      </w:r>
    </w:p>
    <w:sectPr>
      <w:footerReference r:id="rId9"/>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3.3.1.pdf" Type="http://schemas.openxmlformats.org/officeDocument/2006/relationships/hyperlink" Id="rId5"/>
    <Relationship TargetMode="External" Target="http://www.legis.iowa.gov/DOCS/Rules/Current/UniformRules.pdf" Type="http://schemas.openxmlformats.org/officeDocument/2006/relationships/hyperlink" Id="rId6"/>
    <Relationship TargetMode="External" Target="https://www.legis.iowa.gov/docs/iac/chapter/283.4.pdf" Type="http://schemas.openxmlformats.org/officeDocument/2006/relationships/hyperlink" Id="rId7"/>
    <Relationship TargetMode="External" Target="https://www.legis.iowa.gov/docs/ico/chapter/17A.9.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