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DISCIPLINARY ACTION—UNLICENSED PRACTICE</w:t>
      </w:r>
    </w:p>
    <w:p>
      <w:pPr>
        <w:spacing w:before="0" w:after="0"/>
        <w:ind w:left="120"/>
        <w:jc w:val="center"/>
      </w:pPr>
      <w:r>
        <w:rPr>
          <w:rFonts w:ascii="Times New Roman" w:hAnsi="Times New Roman"/>
          <w:b w:val="false"/>
          <w:i w:val="false"/>
          <w:color w:val="000000"/>
          <w:sz w:val="14"/>
        </w:rPr>
        <w:t>[Previously Ch 4; Ch 5, IAB 3/2/83]</w:t>
      </w:r>
      <w:r>
        <w:br/>
      </w:r>
      <w:r>
        <w:rPr>
          <w:rFonts w:ascii="Times New Roman" w:hAnsi="Times New Roman"/>
          <w:b w:val="false"/>
          <w:i w:val="false"/>
          <w:color w:val="000000"/>
          <w:sz w:val="14"/>
        </w:rPr>
        <w:t>[Prior to 7/13/88, see Architectural Examiners, Board of[80]]</w:t>
      </w:r>
    </w:p>
    <w:p>
      <w:pPr>
        <w:spacing w:before="0" w:after="0"/>
        <w:ind w:left="120"/>
        <w:jc w:val="center"/>
      </w:pPr>
      <w:r>
        <w:rPr>
          <w:rFonts w:ascii="Times New Roman" w:hAnsi="Times New Roman"/>
          <w:b w:val="false"/>
          <w:i w:val="false"/>
          <w:color w:val="000000"/>
          <w:sz w:val="14"/>
        </w:rPr>
        <w:t>[Prior to 10/3/01, see 193B—Chapter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193B—7.1</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Disciplinary action. </w:t>
      </w:r>
      <w:r>
        <w:rPr>
          <w:rFonts w:ascii="Times New Roman" w:hAnsi="Times New Roman"/>
          <w:b w:val="false"/>
          <w:i w:val="false"/>
          <w:color w:val="000000"/>
          <w:sz w:val="22"/>
        </w:rPr>
        <w:t xml:space="preserve">The architectural examining board has authority in Iowa Code chapters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impose discipline for violations of these chapters and the rules promulgated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193B—7.2</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Investigation of complaints. </w:t>
      </w:r>
      <w:r>
        <w:rPr>
          <w:rFonts w:ascii="Times New Roman" w:hAnsi="Times New Roman"/>
          <w:b w:val="false"/>
          <w:i w:val="false"/>
          <w:color w:val="000000"/>
          <w:sz w:val="22"/>
        </w:rPr>
        <w:t>The board will, upon receipt of a complaint in writing, or may, upon its own motion, pursuant to other evidence received by the board, review and investigate alleged acts that the board reasonably believes constitute cause under applicable law or administrative rules. In order to determine if probable cause exists for a hearing on a complaint, the investigators designated by the chairperson will investigate the allegations of the complaint. If the board determines that the complaint does not present facts that constitute a basis for disciplinary action, the board may take no further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193B—7.3</w:t>
      </w:r>
      <w:r>
        <w:rPr>
          <w:rFonts w:ascii="Times New Roman" w:hAnsi="Times New Roman"/>
          <w:b/>
          <w:i w:val="false"/>
          <w:color w:val="000000"/>
          <w:sz w:val="22"/>
        </w:rPr>
        <w:t xml:space="preserve">(544A) </w:t>
      </w:r>
      <w:r>
        <w:rPr>
          <w:rFonts w:ascii="Times New Roman" w:hAnsi="Times New Roman"/>
          <w:b/>
          <w:i w:val="false"/>
          <w:color w:val="000000"/>
          <w:sz w:val="22"/>
        </w:rPr>
        <w:t xml:space="preserve">Civil penalties against unlicensed person. </w:t>
      </w:r>
      <w:r>
        <w:rPr>
          <w:rFonts w:ascii="Times New Roman" w:hAnsi="Times New Roman"/>
          <w:b w:val="false"/>
          <w:i w:val="false"/>
          <w:color w:val="000000"/>
          <w:sz w:val="22"/>
        </w:rPr>
        <w:t xml:space="preserve">The board may impose civil penalties by order against a person who is not licensed as an architect pursuant to Iowa Code chapter </w:t>
      </w:r>
      <w:hyperlink r:id="rId8">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based on the unlawful practices specified in Iowa Code section </w:t>
      </w:r>
      <w:hyperlink r:id="rId9">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xml:space="preserve">. In addition to the procedures set forth in Iowa Code section </w:t>
      </w:r>
      <w:hyperlink r:id="rId10">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this rule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the board’s intent to impose a civil penalty required by Iowa Code section </w:t>
      </w:r>
      <w:hyperlink r:id="rId11">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xml:space="preserve"> may be served upon the unlicensed person by restricted certified mail, return receipt requested, or personal service in accordance with Rule of Civil Procedure 1.305. Alternatively, the unlicensed person may accept service personally or through authorized counsel. The notice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dollar amount of the proposed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unlicensed person’s right to a hearing and the time frame in which a hearing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written request for hearing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Unlicensed persons need to request a hearing in writing within 30 days of the date the notice is mailed, if served through restricted certified mail to the last-known address, or within 30 days of the date of service, if service is accepted or made in accordance with Rule of Civil Procedure 1.305. A request for hearing is deemed made on the date of the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not timely made, the board chair or the chair’s designee may issue an order imposing the civil penalty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issues a notice of hearing and conducts a hearing in the same manner as applicable to disciplinary cases against licensed architects.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factors set forth in Iowa Code section </w:t>
      </w:r>
      <w:hyperlink r:id="rId12">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lapsed since the unlawful practice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unlawful practice violated a prior order of the board, court order, cease and desist agreement, consent order, or similar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unlicensed person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unlicensed person cooperated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val="false"/>
          <w:color w:val="000000"/>
          <w:sz w:val="22"/>
        </w:rPr>
        <w:t>An unlicensed person may waive the right to hearing and all attendant rights and enter into a consent order imposing a civil penalty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impose civil penalty and order imposing civil penalty are public records available for inspection and copying in accordance with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provided to the media, the National Council of Architectural Registration Boards, and other entities. Hearings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9/29/78, Notice 8/23/78—published 10/18/78, effective 11/22/78]</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12/6/91, Notice 10/3/91—published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4/30/98, Notice 12/31/97—published 5/20/98, effective 6/24/98]</w:t>
      </w:r>
    </w:p>
    <w:p>
      <w:pPr>
        <w:spacing w:before="0" w:after="0"/>
        <w:ind w:left="120"/>
        <w:jc w:val="center"/>
      </w:pPr>
      <w:r>
        <w:rPr>
          <w:rFonts w:ascii="Times New Roman" w:hAnsi="Times New Roman"/>
          <w:b w:val="false"/>
          <w:i w:val="false"/>
          <w:color w:val="000000"/>
          <w:sz w:val="21"/>
        </w:rPr>
        <w:t>[Filed 11/12/98, Notice 8/12/98—published 12/2/98, effective 1/6/99]</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3142C</w:t>
      </w:r>
      <w:r>
        <w:rPr>
          <w:rFonts w:ascii="Times New Roman" w:hAnsi="Times New Roman"/>
          <w:b w:val="false"/>
          <w:i w:val="false"/>
          <w:color w:val="000000"/>
          <w:sz w:val="21"/>
        </w:rPr>
        <w:t xml:space="preserve"> (Notice ARC 3014C, IAB 4/12/17)</w:t>
      </w:r>
      <w:r>
        <w:rPr>
          <w:rFonts w:ascii="Times New Roman" w:hAnsi="Times New Roman"/>
          <w:b w:val="false"/>
          <w:i w:val="false"/>
          <w:color w:val="000000"/>
          <w:sz w:val="21"/>
        </w:rPr>
        <w:t>, IAB 6/21/17, effective 7/26/17]</w:t>
      </w:r>
    </w:p>
    <w:p>
      <w:pPr>
        <w:spacing w:before="0" w:after="0"/>
        <w:ind w:left="120"/>
        <w:jc w:val="center"/>
      </w:pPr>
      <w:r>
        <w:rPr>
          <w:rFonts w:ascii="Times New Roman" w:hAnsi="Times New Roman"/>
          <w:b w:val="false"/>
          <w:i w:val="false"/>
          <w:color w:val="000000"/>
          <w:sz w:val="21"/>
        </w:rPr>
        <w:t>[Filed ARC 3337C</w:t>
      </w:r>
      <w:r>
        <w:rPr>
          <w:rFonts w:ascii="Times New Roman" w:hAnsi="Times New Roman"/>
          <w:b w:val="false"/>
          <w:i w:val="false"/>
          <w:color w:val="000000"/>
          <w:sz w:val="21"/>
        </w:rPr>
        <w:t xml:space="preserve"> (Notice ARC 3175C,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7762C</w:t>
      </w:r>
      <w:r>
        <w:rPr>
          <w:rFonts w:ascii="Times New Roman" w:hAnsi="Times New Roman"/>
          <w:b w:val="false"/>
          <w:i w:val="false"/>
          <w:color w:val="000000"/>
          <w:sz w:val="21"/>
        </w:rPr>
        <w:t xml:space="preserve"> (Notice ARC 7441C,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544A.pdf" Type="http://schemas.openxmlformats.org/officeDocument/2006/relationships/hyperlink" Id="rId8"/>
    <Relationship TargetMode="External" Target="https://www.legis.iowa.gov/docs/ico/chapter/544A.15.pdf" Type="http://schemas.openxmlformats.org/officeDocument/2006/relationships/hyperlink" Id="rId9"/>
    <Relationship TargetMode="External" Target="https://www.legis.iowa.gov/docs/ico/chapter/544A.15.pdf" Type="http://schemas.openxmlformats.org/officeDocument/2006/relationships/hyperlink" Id="rId10"/>
    <Relationship TargetMode="External" Target="https://www.legis.iowa.gov/docs/ico/chapter/544A.15.pdf" Type="http://schemas.openxmlformats.org/officeDocument/2006/relationships/hyperlink" Id="rId11"/>
    <Relationship TargetMode="External" Target="https://www.legis.iowa.gov/docs/ico/chapter/544A.15.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544A.1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