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RULES OF CONDUCT</w:t>
      </w:r>
    </w:p>
    <w:p>
      <w:pPr>
        <w:spacing w:before="0" w:after="0"/>
        <w:ind w:left="120"/>
        <w:jc w:val="center"/>
      </w:pPr>
      <w:r>
        <w:rPr>
          <w:rFonts w:ascii="Times New Roman" w:hAnsi="Times New Roman"/>
          <w:b w:val="false"/>
          <w:i w:val="false"/>
          <w:color w:val="000000"/>
          <w:sz w:val="14"/>
        </w:rPr>
        <w:t>[Prior to 7/13/88, see Architectural Examiners, Board of[80]]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193B—4.1</w:t>
      </w:r>
      <w:r>
        <w:rPr>
          <w:rFonts w:ascii="Times New Roman" w:hAnsi="Times New Roman"/>
          <w:b/>
          <w:i w:val="false"/>
          <w:color w:val="000000"/>
          <w:sz w:val="22"/>
        </w:rPr>
        <w:t xml:space="preserve">(544A,17A) </w:t>
      </w:r>
      <w:r>
        <w:rPr>
          <w:rFonts w:ascii="Times New Roman" w:hAnsi="Times New Roman"/>
          <w:b/>
          <w:i w:val="false"/>
          <w:color w:val="000000"/>
          <w:sz w:val="22"/>
        </w:rPr>
        <w:t xml:space="preserve">Rules of conduct. </w:t>
      </w:r>
      <w:r>
        <w:rPr>
          <w:rFonts w:ascii="Times New Roman" w:hAnsi="Times New Roman"/>
          <w:b w:val="false"/>
          <w:i w:val="false"/>
          <w:color w:val="000000"/>
          <w:sz w:val="22"/>
        </w:rPr>
        <w:t xml:space="preserve">Failure by a licensee to adhere to the provisions of Iowa Code sections </w:t>
      </w:r>
      <w:hyperlink r:id="rId5">
        <w:r>
          <w:rPr>
            <w:rStyle w:val="Hyperlink"/>
            <w:rFonts w:ascii="Times New Roman" w:hAnsi="Times New Roman"/>
            <w:b w:val="false"/>
            <w:i w:val="false"/>
            <w:color w:val="000000"/>
            <w:sz w:val="22"/>
          </w:rPr>
          <w:t>272C.10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the following rules of conduct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following definition applies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charge” </w:t>
      </w:r>
      <w:r>
        <w:rPr>
          <w:rFonts w:ascii="Times New Roman" w:hAnsi="Times New Roman"/>
          <w:b w:val="false"/>
          <w:i w:val="false"/>
          <w:color w:val="000000"/>
          <w:sz w:val="22"/>
        </w:rPr>
        <w:t>means the amount of control over and detailed professional knowledge of the content of technical submissions during their preparation as is ordinarily exercised by a licensed architect applying the necessary professional standard of care, including but not limited to an architect’s integration of information from manufacturers, suppliers, installers; the architect’s consultants, owners, contractors; or other sources the architect reasonably trusts that is incidental to and intended to be incorporated into the architect’s technical submissions if the architect has coordinated and reviewed such information. Other review, or review and correction, of technical submissions after they have been prepared by others does not constitute the exercise of responsible charge because the reviewer has neither control over nor detailed professional knowledge of the content of such submissions throughout their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practicing architecture, an architect will act with reasonable care and competence and will apply the technical knowledge and skill that is ordinarily applied by architects of good standing practicing in the same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While an architect may rely on the advice of other professionals (e.g., attorneys, engineers and other qualified persons) as to the intent and meaning of all applicable state and municipal building laws and regulations, once having obtained such advice, an architect will not knowingly design a project in violation of these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perform professional services only when the architect, together with those whom the architect may engage as consultants, is qualified by education, training and experience in the specific technical areas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is permitted to practice architecture if, in the board’s judgment upon receipt of medical testimony or evidence, the person’s professional competence is substantially impaired by physical or mental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architect may accept compensation for services from more than one party on a project if the circumstances are fully disclosed to and agreed to in writing by all interested parties in advance of payment of such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architect has any business association or direct or indirect financial interest that is substantial enough to influence the architect’s judgment in connection with the architect’s performance of professional services, the architect will fully disclose, in writing, to the client or employer the nature of the business association or financial interest, and if the client or employer objects to the association or financial interest, the architect will either terminate such association or interest or offer to give up the commission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may not solicit or accept compensation from material or equipment suppliers in return for specifying or endorsing the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acting as the interpreter of building contract documents and the judge of contract performance, an architect will render decisions impartially, favoring neither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Full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making public statements on architectural questions, an architect will disclose when compensation is being received for making the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accurately represent to a prospective or existing client or employer the architect’s qualifications, capabilities, and experience and the scope of the architect’s responsibility in connection with work for which the architect is claiming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in the course of work on a project, an architect becomes aware of a decision taken by the employer or client against the architect’s advice that violates applicable state or municipal building laws and regulations and that may, in the architect’s judgment, adversely affect the safety to the public of the finished project, the architect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 the decision to the local building inspector or other public official charged with enforcement of the applicable state or municipal building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Refuse to consent to the decisions,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circumstances where the architect reasonably believes that other decisions will be taken, notwithstanding the architect’s objection, terminate the architect’s services with reference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deliberately make a materially false statement or deliberately fail to disclose a material fact requested in connection with application for licensure or renewal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architect will not assist the application for licensure of a person known by the architect to be unqualified in respect to education, training, experience or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possessing knowledge of a violation of these rules by another architect will report the knowledge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laws.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architect will not, in the conduct of architectural practice, knowingly violate any state or federal criminal law. A “conviction” for purposes of this paragraph and Iowa Code section </w:t>
      </w:r>
      <w:hyperlink r:id="rId8">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means a conviction of a felony related to the profession or occupation of the licensee or the conviction of any felony that would affect the licensee’s ability to practice the profession of architecture and includes the court’s acceptance of a guilty plea, a deferred judgment from the time of entry of the deferred judgment until the time the defendant is discharged by the court without entry of judgment, or other finding of guilt by a court of competent jurisdiction. A copy of the record of conviction, guilty plea, deferred judgment, or other finding of guilt is conclusive evidence. A licensed architect will notify the board of a conviction within 30 days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make nor offer to make any payment or gift to a government official (whether elected or appointed) with the intent of influencing the official’s judgment in connection with a prospective or existing project in which the architect is interested.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comply with the licensing laws and regulations governing the architect’s professional practice in any United States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Iowa-licensed architect will report to the board in writing any revocation, suspension, license denial, or other disciplinary action taken by a licensing authority in any other state or jurisdiction within 30 days of the final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Professional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office engaged in the practice of architecture will have an architect resident regularly employed in that office having responsible charge of such work or, in the situation of work performed remotely, immediately available to furnish assistance or direction throughout the performance of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architect may only sign or seal drawings, specifications, reports or other professional work for which the architect has direct professional knowledge and direct supervisory control; provided, however, that in the case of the portions of professional work prepared by the architect’s consultants, licensed under this or another professional licensing law of this jurisdiction, the architect may sign or seal that portion of the professional work if the architect has reviewed that portion, has coordinated its preparation and intends to be responsible for its adequacy.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architect will neither offer nor make any gifts to any public official with the intent of influencing the official’s judgment in connection with a project in which the architect is interested. Nothing in this rule will bar an architect from providing architectural services as a charitable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architect will not engage in conduct involving fraud or wanton disregard of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Architects will adhere to the appropriate standards of conduct as outlined in the NCARB Model Rules of Conduct, dated July 2018,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color w:val="000000"/>
          <w:sz w:val="22"/>
        </w:rPr>
        <w:t xml:space="preserve">Seal and certificate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seal under Iowa Code section </w:t>
      </w:r>
      <w:hyperlink r:id="rId9">
        <w:r>
          <w:rPr>
            <w:rStyle w:val="Hyperlink"/>
            <w:rFonts w:ascii="Times New Roman" w:hAnsi="Times New Roman"/>
            <w:b w:val="false"/>
            <w:i w:val="false"/>
            <w:color w:val="000000"/>
            <w:sz w:val="22"/>
          </w:rPr>
          <w:t>544A.28</w:t>
        </w:r>
      </w:hyperlink>
      <w:r>
        <w:rPr>
          <w:rFonts w:ascii="Times New Roman" w:hAnsi="Times New Roman"/>
          <w:b w:val="false"/>
          <w:i w:val="false"/>
          <w:color w:val="000000"/>
          <w:sz w:val="22"/>
        </w:rPr>
        <w:t xml:space="preserve">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outside circle with a diameter of approximately 1¾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licensed architect and the words “Licensed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Iowa license number and the word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seal will substantially conform to the samples shown below:</w:t>
      </w:r>
    </w:p>
    <w:p>
      <w:pPr>
        <w:spacing w:before="0" w:after="0"/>
        <w:ind w:left="120"/>
        <w:jc w:val="both"/>
      </w:pPr>
      <w:r>
        <w:drawing>
          <wp:inline distT="0" distB="0" distL="0" distR="0">
            <wp:extent cx="3997166" cy="178471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0"/>
                    <a:stretch>
                      <a:fillRect/>
                    </a:stretch>
                  </pic:blipFill>
                  <pic:spPr>
                    <a:xfrm>
                      <a:off x="0" y="0"/>
                      <a:ext cx="3997166" cy="178471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legible rubber stamp, electronic image or other facsimile of the seal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technical submission submitted to a client or any public agency, hereinafter referred to as the official copy, will contain an information block on its first page or on an attached cover sheet with application of a seal by the architect in responsible charge and an information block with application of a seal by each professional consultant contributing to the technical submission. The seal and original signature will be applied only to a final technical submission. Each official copy of a technical submission will be stapled, bound or otherwise attached together so as to clearly establish the complete extent of the technical submission. Each information block will display the seal of the individual responsible for that portion of the technical submission. The area of responsibility for each sealing professional will be designated in the area provided in the information block, so that responsibility for the entire technical submission is clearly established by the combination of the stated seal responsibilities. The information block will substantially conform to the sample shown below:</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109"/>
        <w:gridCol w:w="5174"/>
        <w:gridCol w:w="2907"/>
      </w:tblGrid>
      <w:tr>
        <w:trPr>
          <w:trHeight w:val="690" w:hRule="atLeast"/>
        </w:trPr>
        <w:tc>
          <w:tcPr>
            <w:tcW w:w="31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 E A L</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 hereby certify that the portion of this technical submission described below was prepared by me or under my direct supervision and responsible charge. I am a duly licensed architect under the laws of the state of Iowa.</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17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Signature</w:t>
            </w:r>
          </w:p>
        </w:tc>
        <w:tc>
          <w:tcPr>
            <w:tcW w:w="29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Printed or typed name</w:t>
            </w:r>
          </w:p>
        </w:tc>
      </w:tr>
      <w:tr>
        <w:trPr>
          <w:trHeight w:val="21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License number</w:t>
            </w:r>
          </w:p>
        </w:tc>
      </w:tr>
      <w:tr>
        <w:trPr>
          <w:trHeight w:val="39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 My license renewal date is June 30,</w:t>
            </w:r>
          </w:p>
          <w:p>
            <w:pPr>
              <w:spacing w:before="0" w:after="0"/>
              <w:ind w:left="160"/>
              <w:jc w:val="left"/>
            </w:pPr>
            <w:r>
              <w:rPr>
                <w:rFonts w:ascii="Times New Roman" w:hAnsi="Times New Roman"/>
                <w:b w:val="false"/>
                <w:i w:val="false"/>
                <w:color w:val="000000"/>
                <w:sz w:val="16"/>
              </w:rPr>
              <w:t>.</w:t>
            </w:r>
          </w:p>
        </w:tc>
      </w:tr>
      <w:tr>
        <w:trPr>
          <w:trHeight w:val="1170" w:hRule="atLeast"/>
        </w:trPr>
        <w:tc>
          <w:tcPr>
            <w:tcW w:w="310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Pages or sheets covered by this seal: </w:t>
            </w:r>
          </w:p>
          <w:p>
            <w:pPr>
              <w:spacing w:before="0" w:after="0"/>
              <w:ind w:left="160"/>
              <w:jc w:val="left"/>
            </w:pPr>
          </w:p>
          <w:p>
            <w:pPr>
              <w:spacing w:before="0" w:after="0"/>
              <w:ind w:left="160"/>
              <w:jc w:val="left"/>
            </w:pPr>
          </w:p>
          <w:p>
            <w:pPr>
              <w:spacing w:before="0" w:after="0"/>
              <w:ind w:left="160"/>
              <w:jc w:val="left"/>
            </w:pPr>
          </w:p>
          <w:p>
            <w:pPr>
              <w:spacing w:before="0" w:after="0"/>
              <w:ind w:left="160"/>
              <w:jc w:val="left"/>
            </w:pPr>
          </w:p>
          <w:p>
            <w:pPr>
              <w:spacing w:before="0" w:after="0"/>
              <w:ind w:left="16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requested in each information block must be typed or legibly printed in permanent ink or a secure electronic signature. An electronic signature as defined in or governed by Iowa Code chapter </w:t>
      </w:r>
      <w:hyperlink r:id="rId11">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meets the signature requirements of this rule if it is protected by a security procedure, as defined in Iowa Code section </w:t>
      </w:r>
      <w:hyperlink r:id="rId12">
        <w:r>
          <w:rPr>
            <w:rStyle w:val="Hyperlink"/>
            <w:rFonts w:ascii="Times New Roman" w:hAnsi="Times New Roman"/>
            <w:b w:val="false"/>
            <w:i w:val="false"/>
            <w:color w:val="000000"/>
            <w:sz w:val="22"/>
          </w:rPr>
          <w:t>554D.103(14)</w:t>
        </w:r>
      </w:hyperlink>
      <w:r>
        <w:rPr>
          <w:rFonts w:ascii="Times New Roman" w:hAnsi="Times New Roman"/>
          <w:b w:val="false"/>
          <w:i w:val="false"/>
          <w:color w:val="000000"/>
          <w:sz w:val="22"/>
        </w:rPr>
        <w:t>, such as digital signature technology. It is the licensee’s responsibility to ensure, prior to affixing an electronic signature to a technical submission, that security procedures are adequate to (1) verify that the signature is that of a specific person and (2) detect any changes that may be made or attempted after the signature of the specific person is affixed. The seal implies responsibility for the entire technical submission unless the area of responsibility is clearly identified in the information accompanying the seal.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architect who signed the original submission is responsible for forwarding copies of all changes and amendments to the technical submission, which becomes a part of the official copy of the technical submission, to the public official charged with the enforcement of the state, county, or municipal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architect is responsible for the custody and proper use of the seal. Improper use of the seal is grounds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seal appearing on any technical submission establishes prima facie evidence that said technical submission was prepared by or under the responsible charge of the individual named on that seal.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An architect will, when requested, respond to communications from the board within 30 days of the mailing of such communication by certified mail. Failure to respond to such communication may be grounds for disciplinary action against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4.1(9)</w:t>
      </w:r>
      <w:r>
        <w:rPr>
          <w:rFonts w:ascii="Times New Roman" w:hAnsi="Times New Roman"/>
          <w:b w:val="false"/>
          <w:i w:val="false"/>
          <w:color w:val="000000"/>
          <w:sz w:val="22"/>
        </w:rPr>
        <w:t> </w:t>
      </w:r>
      <w:r>
        <w:rPr>
          <w:rFonts w:ascii="Times New Roman" w:hAnsi="Times New Roman"/>
          <w:b w:val="false"/>
          <w:i/>
          <w:color w:val="000000"/>
          <w:sz w:val="22"/>
        </w:rPr>
        <w:t xml:space="preserve">Architectural Experience Program supervisor. </w:t>
      </w:r>
      <w:r>
        <w:rPr>
          <w:rFonts w:ascii="Times New Roman" w:hAnsi="Times New Roman"/>
          <w:b w:val="false"/>
          <w:i w:val="false"/>
          <w:color w:val="000000"/>
          <w:sz w:val="22"/>
        </w:rPr>
        <w:t>The Architectural Experience Program supervisor, formerly known as the Intern Development Program supervisor, will timely respond to a request to verify experience hours reported to the National Council of Architectural Registration Boards’ Architectural Experience Program when requested by NCARB, the board, or a subordinate, associate, or intern who is, or has been, supervised by the Architectural Experience Program supervisor.</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10/8/87, Notice 7/15/87—published 11/4/87, effective 12/9/87]</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7/24/98, Notice 5/20/98—published 8/12/98, effective 9/16/98]</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3/29/07, Notice 2/14/07—published 4/25/07, effective 5/30/07]</w:t>
      </w:r>
    </w:p>
    <w:p>
      <w:pPr>
        <w:spacing w:before="0" w:after="0"/>
        <w:ind w:left="120"/>
        <w:jc w:val="center"/>
      </w:pPr>
      <w:r>
        <w:rPr>
          <w:rFonts w:ascii="Times New Roman" w:hAnsi="Times New Roman"/>
          <w:b w:val="false"/>
          <w:i w:val="false"/>
          <w:color w:val="000000"/>
          <w:sz w:val="21"/>
        </w:rPr>
        <w:t>[Filed ARC 9359B</w:t>
      </w:r>
      <w:r>
        <w:rPr>
          <w:rFonts w:ascii="Times New Roman" w:hAnsi="Times New Roman"/>
          <w:b w:val="false"/>
          <w:i w:val="false"/>
          <w:color w:val="000000"/>
          <w:sz w:val="21"/>
        </w:rPr>
        <w:t xml:space="preserve"> (Notice ARC 9260B, IAB 12/15/10)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3141C</w:t>
      </w:r>
      <w:r>
        <w:rPr>
          <w:rFonts w:ascii="Times New Roman" w:hAnsi="Times New Roman"/>
          <w:b w:val="false"/>
          <w:i w:val="false"/>
          <w:color w:val="000000"/>
          <w:sz w:val="21"/>
        </w:rPr>
        <w:t xml:space="preserve"> (Notice ARC 3015C, IAB 4/12/17)</w:t>
      </w:r>
      <w:r>
        <w:rPr>
          <w:rFonts w:ascii="Times New Roman" w:hAnsi="Times New Roman"/>
          <w:b w:val="false"/>
          <w:i w:val="false"/>
          <w:color w:val="000000"/>
          <w:sz w:val="21"/>
        </w:rPr>
        <w:t>, IAB 6/21/17, effective 7/26/17]</w:t>
      </w:r>
    </w:p>
    <w:p>
      <w:pPr>
        <w:spacing w:before="0" w:after="0"/>
        <w:ind w:left="120"/>
        <w:jc w:val="center"/>
      </w:pPr>
      <w:r>
        <w:rPr>
          <w:rFonts w:ascii="Times New Roman" w:hAnsi="Times New Roman"/>
          <w:b w:val="false"/>
          <w:i w:val="false"/>
          <w:color w:val="000000"/>
          <w:sz w:val="21"/>
        </w:rPr>
        <w:t>[Filed ARC 3334C</w:t>
      </w:r>
      <w:r>
        <w:rPr>
          <w:rFonts w:ascii="Times New Roman" w:hAnsi="Times New Roman"/>
          <w:b w:val="false"/>
          <w:i w:val="false"/>
          <w:color w:val="000000"/>
          <w:sz w:val="21"/>
        </w:rPr>
        <w:t xml:space="preserve"> (Notice ARC 3174C,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7759C</w:t>
      </w:r>
      <w:r>
        <w:rPr>
          <w:rFonts w:ascii="Times New Roman" w:hAnsi="Times New Roman"/>
          <w:b w:val="false"/>
          <w:i w:val="false"/>
          <w:color w:val="000000"/>
          <w:sz w:val="21"/>
        </w:rPr>
        <w:t xml:space="preserve"> (Notice ARC 7438C,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10.pdf" Type="http://schemas.openxmlformats.org/officeDocument/2006/relationships/hyperlink" Id="rId5"/>
    <Relationship TargetMode="External" Target="https://www.legis.iowa.gov/docs/ico/chapter/544A.13.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co/chapter/544A.13.pdf" Type="http://schemas.openxmlformats.org/officeDocument/2006/relationships/hyperlink" Id="rId8"/>
    <Relationship TargetMode="External" Target="https://www.legis.iowa.gov/docs/ico/chapter/544A.28.pdf" Type="http://schemas.openxmlformats.org/officeDocument/2006/relationships/hyperlink" Id="rId9"/>
    <Relationship Target="media/document_image_rId10.jpeg" Type="http://schemas.openxmlformats.org/officeDocument/2006/relationships/image" Id="rId10"/>
    <Relationship TargetMode="External" Target="https://www.legis.iowa.gov/docs/ico/chapter/554D.pdf" Type="http://schemas.openxmlformats.org/officeDocument/2006/relationships/hyperlink" Id="rId11"/>
    <Relationship TargetMode="External" Target="https://www.legis.iowa.gov/docs/ico/chapter/554D.103.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544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