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7/13/88, see Architectural Examiners, Board of[80]]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193B—3.1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The following rules adopted by the architectural examining board are in compliance with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requiring professional and occupational licensees to participate in a continuing education program as a condition of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 </w:t>
      </w:r>
      <w:r>
        <w:rPr>
          <w:rFonts w:ascii="Times New Roman" w:hAnsi="Times New Roman"/>
          <w:b w:val="false"/>
          <w:i w:val="false"/>
          <w:color w:val="000000"/>
          <w:sz w:val="22"/>
        </w:rPr>
        <w:t>means postlicensure learning that enables a licensed architect to increase or update knowledge of and competence in technical and professional subjects related to the practice of architecture to safeguard the public’s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hour”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“CEH” </w:t>
      </w:r>
      <w:r>
        <w:rPr>
          <w:rFonts w:ascii="Times New Roman" w:hAnsi="Times New Roman"/>
          <w:b w:val="false"/>
          <w:i w:val="false"/>
          <w:color w:val="000000"/>
          <w:sz w:val="22"/>
        </w:rPr>
        <w:t>means one continuous instructional hour (50 to 60 minutes of contact) spent in structured educational activities intended to increase or update the architect’s knowledge and competence in health, safety, and welfare subjects. If the provider of the structured educational activities prescribes a customary time for completion of such an activity and if the prescribed time is not deemed unreasonable by the board, then such prescribed time will be accepted for CEH purposes as the architect’s time irrespective of actual time spent on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means technical and professional subjects that the board deems appropriate to safeguard the public and that are within the following enumerated areas necessary for the proper evaluation, design, construction, and utilization of buildings and the built environment.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 systems: structural, mechanical, electrical, plumbing, communications, security, and fire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Construction contract administration: contracts, bidding, and contract negotiations.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documents: drawings, specifications, and delivery methods.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Design: urban planning, master planning, building design, site design, interiors, safety and security measures.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Environmental: energy efficiency, sustainability, natural resources, natural hazards, hazardous materials, weatherproofing, and insulation.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Legal: laws, codes, zoning, regulations, standards, life safety, accessibility, ethics, and insurance to protect owners and the public.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Materials and methods: construction systems, products, finishes, furnishings, and equipment.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Occupant comfort: air quality, lighting, acoustics, and ergonomics.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Predesign: land use analysis, programming, site selection, site and soils analysis, and surveying.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Preservation: historic, reuse, and adaptation.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 engaged in active practice” </w:t>
      </w:r>
      <w:r>
        <w:rPr>
          <w:rFonts w:ascii="Times New Roman" w:hAnsi="Times New Roman"/>
          <w:b w:val="false"/>
          <w:i w:val="false"/>
          <w:color w:val="000000"/>
          <w:sz w:val="22"/>
        </w:rPr>
        <w:t>means that an architect is not engaged in the practice of architecture or earning monetary compensation by providing professional architectural services in any licensing jurisdiction of the United States or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from active practice” </w:t>
      </w:r>
      <w:r>
        <w:rPr>
          <w:rFonts w:ascii="Times New Roman" w:hAnsi="Times New Roman"/>
          <w:b w:val="false"/>
          <w:i w:val="false"/>
          <w:color w:val="000000"/>
          <w:sz w:val="22"/>
        </w:rPr>
        <w:t>means the same as “not engaged in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educational activities” </w:t>
      </w:r>
      <w:r>
        <w:rPr>
          <w:rFonts w:ascii="Times New Roman" w:hAnsi="Times New Roman"/>
          <w:b w:val="false"/>
          <w:i w:val="false"/>
          <w:color w:val="000000"/>
          <w:sz w:val="22"/>
        </w:rPr>
        <w:t>means educational activities in which at least 75 percent of an activity’s content and instructional time is to be devoted to health, safety, and welfare subjects related to the practice of architecture, including courses of study or other activities under the areas identified as health, safety, and welfare subjects and provided by qualified individuals or organizations, whether the courses of study or other activities are delivered by direct contact or distance learning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Basic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renew licensure, an architect must, in addition to meeting all other requirements, complete a minimum of 24 CEHs for each 24-month period since the architect’s last renewal of initial licensure or be exempt from these continuing education requirements as provided in rule </w:t>
      </w:r>
      <w:hyperlink r:id="rId8">
        <w:r>
          <w:rPr>
            <w:rStyle w:val="Hyperlink"/>
            <w:rFonts w:ascii="Times New Roman" w:hAnsi="Times New Roman"/>
            <w:b w:val="false"/>
            <w:i w:val="false"/>
            <w:color w:val="000000"/>
            <w:sz w:val="22"/>
          </w:rPr>
          <w:t>193B—3.5</w:t>
        </w:r>
      </w:hyperlink>
      <w:r>
        <w:rPr>
          <w:rFonts w:ascii="Times New Roman" w:hAnsi="Times New Roman"/>
          <w:b w:val="false"/>
          <w:i w:val="false"/>
          <w:color w:val="000000"/>
          <w:sz w:val="22"/>
        </w:rPr>
        <w:t>(544A,272C). Failure to comply with these requirements may result in nonrenewal of the architect’s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All 24 CEHs must be completed in health, safety, and welfare subjects acquired in structured educational activities. CEHs may be acquired at any location. A licensee may carry over up to 12 CEHs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complete and submit forms as required by the board certifying that the architect has completed the required CEHs. Forms may be audited by the board for verification of compliance with these requirements. Documentation of reported CEHs will be maintained by the architect for two years after the period for which the form was submitted. Any discrepancy between the number of CEHs reported and the number of CEHs actually supported by documentation may result in a disciplinary review. If, after the disciplinary review, the board disallows any CEHs, or the licensee has failed to complete the required CEHs, the architect will have 60 days from notification of the board to either provide further evidence of having completed the CEHs disallowed or remedy the disallowance by completing the required number of CEHs (provided that such CEHs are not used for the next renewal). An extension of time may be granted on an individual basis and must be requested by the licensee within 30 days of notification by the board. If the licensee fails to comply with the requirements of this subrule, the licensee may be subject to disciplinary action. If the board finds, after proper notice and hearing, that the architect willfully disregarded these requirements or falsified documentation of required CEHs, the architect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An architect who holds licensure in Iowa for less than 12 months from the date of initial licensure or who is reinstating to active status is not required to report CEHs at the first license renewal. An architect who holds licensure in Iowa for 12 months or more, but less than 23 months from the date of initial licensure or who is reinstating to active status, is required to report 12 CEHs earned in the preceding 12 months at the first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Authorized structured educational activities. </w:t>
      </w:r>
      <w:r>
        <w:rPr>
          <w:rFonts w:ascii="Times New Roman" w:hAnsi="Times New Roman"/>
          <w:b w:val="false"/>
          <w:i w:val="false"/>
          <w:color w:val="000000"/>
          <w:sz w:val="22"/>
        </w:rPr>
        <w:t>The following list may be used by all licensees in determining the types of activities that may fulfill CE requirements if the activities are conducted as structured educational activities on health, safety, and welfare subjects: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 courses or seminars sponsored by colleges or universities.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Technical presentations held in conjunction with conventions or at seminars sponsored or accredited by the American Institute of Architects (AIA), Construction Specifications Institute, Construction Products Manufacturers Council, National Council of Architecture Registration Boards (NCARB), or similar organizations devoted to architectural education.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Distance learning sponsored by the AIA, NCARB, or similar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College or university credit courses. Each semester hour equals 12 CEHs. A quarter hour equals 8 CEHs.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9">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licensed architect will be deemed to have complied with the continuing education requirements set forth in this chapter if the architect attests in the required affidavit that for not less than 21 months of the preceding two-year period of licensure,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licensure as an architect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an architect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Architects who so attest on their affidavits that they are retired from active practice or are not engaged in active practice may maintain their licenses in retired or inactive status without satisfying CE requirements. Such architects may, however, reenter practice only after satisfying the board of their proficiency. Proficiency may be established by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verifiable evidence of compliance with the aggregate continuing education requirements for the reporting periods attested as retired from active practice or not engaged in active practice up to a maximum of 48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Retaking the architectural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Fulfilling alternative reentry requirements determined by the board that serve to assure the board of the current competency of the architect to engage in the practice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or other good cause. More information is contained in </w:t>
      </w:r>
      <w:hyperlink r:id="rId10">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3/2/82, Notice 1/6/82—published 3/31/82, effective 5/5/82]</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12/28/88—published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1625C</w:t>
      </w:r>
      <w:r>
        <w:rPr>
          <w:rFonts w:ascii="Times New Roman" w:hAnsi="Times New Roman"/>
          <w:b w:val="false"/>
          <w:i w:val="false"/>
          <w:color w:val="000000"/>
          <w:sz w:val="21"/>
        </w:rPr>
        <w:t xml:space="preserve"> (Notice ARC 1500C,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3022C</w:t>
      </w:r>
      <w:r>
        <w:rPr>
          <w:rFonts w:ascii="Times New Roman" w:hAnsi="Times New Roman"/>
          <w:b w:val="false"/>
          <w:i w:val="false"/>
          <w:color w:val="000000"/>
          <w:sz w:val="21"/>
        </w:rPr>
        <w:t xml:space="preserve"> (Notice ARC 2876C, IAB 1/4/17)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3333C</w:t>
      </w:r>
      <w:r>
        <w:rPr>
          <w:rFonts w:ascii="Times New Roman" w:hAnsi="Times New Roman"/>
          <w:b w:val="false"/>
          <w:i w:val="false"/>
          <w:color w:val="000000"/>
          <w:sz w:val="21"/>
        </w:rPr>
        <w:t xml:space="preserve"> (Notice ARC 3171C,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7758C</w:t>
      </w:r>
      <w:r>
        <w:rPr>
          <w:rFonts w:ascii="Times New Roman" w:hAnsi="Times New Roman"/>
          <w:b w:val="false"/>
          <w:i w:val="false"/>
          <w:color w:val="000000"/>
          <w:sz w:val="21"/>
        </w:rPr>
        <w:t xml:space="preserve"> (Notice ARC 7437C,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9100C</w:t>
      </w:r>
      <w:r>
        <w:rPr>
          <w:rFonts w:ascii="Times New Roman" w:hAnsi="Times New Roman"/>
          <w:b w:val="false"/>
          <w:i w:val="false"/>
          <w:color w:val="000000"/>
          <w:sz w:val="21"/>
        </w:rPr>
        <w:t xml:space="preserve"> (Notice ARC 8552C,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ac/rule/193B.3.5.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ac/chapter/193.5.pdf" Type="http://schemas.openxmlformats.org/officeDocument/2006/relationships/hyperlink" Id="rId10"/>
    <Relationship TargetMode="External" Target="https://www.legis.iowa.gov/docs/ico/chapter/272C.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