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7/13/88, see Architectural Examiners, Board of[80]]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193B—1.1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architectural examining board is to administer and enforce the provisions of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with regard to the practice of architecture in the state of Iowa, including the examining of candidates, issuing licenses to practice architecture, assuring continuing competency through continued education, investigating violations and infractions of the architecture law, disciplining licensees, and imposing civil penalties against nonlicensees. To this end, the board has promulgated these rules to clarify the board’s intent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primary mission of the board is to protect the public interest. All board rules foster the guiding policies and principles described in Iowa Code section </w:t>
      </w:r>
      <w:hyperlink r:id="rId6">
        <w:r>
          <w:rPr>
            <w:rStyle w:val="Hyperlink"/>
            <w:rFonts w:ascii="Times New Roman" w:hAnsi="Times New Roman"/>
            <w:b w:val="false"/>
            <w:i w:val="false"/>
            <w:color w:val="000000"/>
            <w:sz w:val="22"/>
          </w:rPr>
          <w:t>544A.5</w:t>
        </w:r>
      </w:hyperlink>
      <w:r>
        <w:rPr>
          <w:rFonts w:ascii="Times New Roman" w:hAnsi="Times New Roman"/>
          <w:b w:val="false"/>
          <w:i w:val="false"/>
          <w:color w:val="000000"/>
          <w:sz w:val="22"/>
        </w:rPr>
        <w:t>. The board and its licensees strive at all times to protect the public interest by promoting the highest standards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The board maintains a roster of all architects authorized to practice architecture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Chairperson. The chairperson presides at all meetings, appoints all committees, and otherwise performs all duties pertaining to the office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val="false"/>
          <w:color w:val="000000"/>
          <w:sz w:val="22"/>
        </w:rPr>
        <w:t>Vice chairperson. The vice chairperson, in the absence or incapacity of the chairperson, exercises the duties and possesses the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administrator. The department of inspections, appeals, and licensing may employ a board administrator who will maintain all necessary records of the board and perform all duties in connection with the operation of the board office. The board administrator determines when the legal requirements for licensure have been satisfied with regard to issuance of certificates, licenses or registrations, and the board administrator submits to the board any questionable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193B—1.2</w:t>
      </w:r>
      <w:r>
        <w:rPr>
          <w:rFonts w:ascii="Times New Roman" w:hAnsi="Times New Roman"/>
          <w:b/>
          <w:i w:val="false"/>
          <w:color w:val="000000"/>
          <w:sz w:val="22"/>
        </w:rPr>
        <w:t xml:space="preserve">(544A,17A)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are issued in accordance with Iowa Code section </w:t>
      </w:r>
      <w:hyperlink r:id="rId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The first meeting scheduled after April 30 is the annual meeting. The chairperson and vice chairperson are elected to serve until their successors are elected. The newly elected officers assume the duties of their respective offices at the conclusion of the meeting at which they are elected. Officers may serve no more than three consecutive one-year terms in each office to which they are elected. Special meetings may be called by the chairperson or board administrator, who will set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193B—1.3</w:t>
      </w:r>
      <w:r>
        <w:rPr>
          <w:rFonts w:ascii="Times New Roman" w:hAnsi="Times New Roman"/>
          <w:b/>
          <w:i w:val="false"/>
          <w:color w:val="000000"/>
          <w:sz w:val="22"/>
        </w:rPr>
        <w:t xml:space="preserve">(544A,17A) </w:t>
      </w:r>
      <w:r>
        <w:rPr>
          <w:rFonts w:ascii="Times New Roman" w:hAnsi="Times New Roman"/>
          <w:b/>
          <w:i w:val="false"/>
          <w:color w:val="000000"/>
          <w:sz w:val="22"/>
        </w:rPr>
        <w:t xml:space="preserve">Certificates. </w:t>
      </w:r>
      <w:r>
        <w:rPr>
          <w:rFonts w:ascii="Times New Roman" w:hAnsi="Times New Roman"/>
          <w:b w:val="false"/>
          <w:i w:val="false"/>
          <w:color w:val="000000"/>
          <w:sz w:val="22"/>
        </w:rPr>
        <w:t xml:space="preserve">Certificates issued to successful applicants contain the licensee’s name and state license number. All licenses are renewable biennially on July 1, with licensees whose last names begin with the letters A through K renewing in even-numbered years and licensees whose last names begin with the letters L through Z renewing in odd-numbered years as provided in rule </w:t>
      </w:r>
      <w:hyperlink r:id="rId8">
        <w:r>
          <w:rPr>
            <w:rStyle w:val="Hyperlink"/>
            <w:rFonts w:ascii="Times New Roman" w:hAnsi="Times New Roman"/>
            <w:b w:val="false"/>
            <w:i w:val="false"/>
            <w:color w:val="000000"/>
            <w:sz w:val="22"/>
          </w:rPr>
          <w:t>193B—2.5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xml:space="preserve">The board will maintain an electronic roster of those holders of certificates of licensure who have failed to renew.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544A.5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544A.8 through 544A.10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4/8/70, amended 1/2/74]</w:t>
      </w:r>
    </w:p>
    <w:p>
      <w:pPr>
        <w:spacing w:before="0" w:after="0"/>
        <w:ind w:left="120"/>
        <w:jc w:val="center"/>
      </w:pPr>
      <w:r>
        <w:rPr>
          <w:rFonts w:ascii="Times New Roman" w:hAnsi="Times New Roman"/>
          <w:b w:val="false"/>
          <w:i w:val="false"/>
          <w:color w:val="000000"/>
          <w:sz w:val="21"/>
        </w:rPr>
        <w:t>[Filed 10/1/76, Notice 9/8/76—published 10/20/76, effective 12/8/76]</w:t>
      </w:r>
    </w:p>
    <w:p>
      <w:pPr>
        <w:spacing w:before="0" w:after="0"/>
        <w:ind w:left="120"/>
        <w:jc w:val="center"/>
      </w:pPr>
      <w:r>
        <w:rPr>
          <w:rFonts w:ascii="Times New Roman" w:hAnsi="Times New Roman"/>
          <w:b w:val="false"/>
          <w:i w:val="false"/>
          <w:color w:val="000000"/>
          <w:sz w:val="21"/>
        </w:rPr>
        <w:t>[Filed 3/15/78, Notice 11/30/77—published 4/5/78, effective 5/10/78]</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1/25/89—published 4/19/89, effective 5/24/89]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6/15/95, Notice 4/26/95—published 7/5/95, effective 8/9/95]</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1505C</w:t>
      </w:r>
      <w:r>
        <w:rPr>
          <w:rFonts w:ascii="Times New Roman" w:hAnsi="Times New Roman"/>
          <w:b w:val="false"/>
          <w:i w:val="false"/>
          <w:color w:val="000000"/>
          <w:sz w:val="21"/>
        </w:rPr>
        <w:t xml:space="preserve"> (Notice ARC 1251C, IAB 12/25/13)</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2674C</w:t>
      </w:r>
      <w:r>
        <w:rPr>
          <w:rFonts w:ascii="Times New Roman" w:hAnsi="Times New Roman"/>
          <w:b w:val="false"/>
          <w:i w:val="false"/>
          <w:color w:val="000000"/>
          <w:sz w:val="21"/>
        </w:rPr>
        <w:t xml:space="preserve"> (Notice ARC 2480C, IAB 3/30/16)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3331C</w:t>
      </w:r>
      <w:r>
        <w:rPr>
          <w:rFonts w:ascii="Times New Roman" w:hAnsi="Times New Roman"/>
          <w:b w:val="false"/>
          <w:i w:val="false"/>
          <w:color w:val="000000"/>
          <w:sz w:val="21"/>
        </w:rPr>
        <w:t xml:space="preserve"> (Notice ARC 3169C,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7756C</w:t>
      </w:r>
      <w:r>
        <w:rPr>
          <w:rFonts w:ascii="Times New Roman" w:hAnsi="Times New Roman"/>
          <w:b w:val="false"/>
          <w:i w:val="false"/>
          <w:color w:val="000000"/>
          <w:sz w:val="21"/>
        </w:rPr>
        <w:t xml:space="preserve"> (Notice ARC 7435C,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544A.5.pdf" Type="http://schemas.openxmlformats.org/officeDocument/2006/relationships/hyperlink" Id="rId6"/>
    <Relationship TargetMode="External" Target="https://www.legis.iowa.gov/docs/ico/chapter/21.4.pdf" Type="http://schemas.openxmlformats.org/officeDocument/2006/relationships/hyperlink" Id="rId7"/>
    <Relationship TargetMode="External" Target="https://www.legis.iowa.gov/docs/iac/rule/193B.2.5.pdf" Type="http://schemas.openxmlformats.org/officeDocument/2006/relationships/hyperlink" Id="rId8"/>
    <Relationship TargetMode="External" Target="https://www.legis.iowa.gov/docs/ico/chapter/544A.5.pdf" Type="http://schemas.openxmlformats.org/officeDocument/2006/relationships/hyperlink" Id="rId9"/>
    <Relationship TargetMode="External" Target="https://www.legis.iowa.gov/docs/ico/chapter/544A.8-10.pdf" Type="http://schemas.openxmlformats.org/officeDocument/2006/relationships/hyperlink" Id="rId10"/>
    <Relationship TargetMode="External" Target="https://www.legis.iowa.gov/docs/ico/chapter/272C.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