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left"/>
      </w:pPr>
      <w:r>
        <w:rPr>
          <w:rFonts w:ascii="Times New Roman" w:hAnsi="Times New Roman"/>
          <w:b w:val="false"/>
          <w:i w:val="false"/>
          <w:color w:val="000000"/>
          <w:sz w:val="22"/>
        </w:rPr>
        <w:t xml:space="preserve">The Iowa division of banking hereby adopts, with the following exceptions and amendments, the Uniform Rules of Agency Procedure relating to public records and fair information practices, which are published on the Iowa general assembly’s website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4056C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187—7.1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means the Iowa division of banking.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“Superintendent” </w:t>
      </w:r>
      <w:r>
        <w:rPr>
          <w:rFonts w:ascii="Times New Roman" w:hAnsi="Times New Roman"/>
          <w:b w:val="false"/>
          <w:i w:val="false"/>
          <w:color w:val="000000"/>
          <w:sz w:val="22"/>
        </w:rPr>
        <w:t>means the superintendent of banking.</w:t>
      </w:r>
    </w:p>
    <w:p>
      <w:pPr>
        <w:spacing w:before="0" w:after="0"/>
        <w:ind w:left="120"/>
        <w:jc w:val="both"/>
      </w:pPr>
      <w:r>
        <w:rPr>
          <w:rFonts w:ascii="Times New Roman" w:hAnsi="Times New Roman"/>
          <w:b/>
          <w:i w:val="false"/>
          <w:color w:val="000000"/>
          <w:sz w:val="22"/>
        </w:rPr>
        <w:t>187—7.3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records. </w:t>
      </w:r>
      <w:r>
        <w:rPr>
          <w:rFonts w:ascii="Times New Roman" w:hAnsi="Times New Roman"/>
          <w:b w:val="false"/>
          <w:i w:val="false"/>
          <w:color w:val="000000"/>
          <w:sz w:val="22"/>
        </w:rPr>
        <w:t>A request for access to a record should be directed to the office where the record is kept. If the location of the record is not known by the requester, the request shall be directed to the Iowa Division of Banking, 200 East Grand Avenue, Suite 300, Des Moines, Iowa 50309-1827. If a request for access to a record is misdirected, agency personnel will promptly forward the request to the appropriate person within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Open records shall be made available during all customary office hours, which are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excluding Saturdays, Sundays and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Supervisory fee. In lieu of “(specify time period)” insert “one-half hour”. Delete the parenthetical sentence at the end of the paragraph.</w:t>
      </w:r>
    </w:p>
    <w:p>
      <w:pPr>
        <w:spacing w:before="0" w:after="0"/>
        <w:ind w:left="120"/>
        <w:jc w:val="both"/>
      </w:pPr>
      <w:r>
        <w:rPr>
          <w:rFonts w:ascii="Times New Roman" w:hAnsi="Times New Roman"/>
          <w:b/>
          <w:i w:val="false"/>
          <w:color w:val="000000"/>
          <w:sz w:val="22"/>
        </w:rPr>
        <w:t>187—7.9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w:t>
      </w:r>
      <w:hyperlink r:id="rId6">
        <w:r>
          <w:rPr>
            <w:rStyle w:val="Hyperlink"/>
            <w:rFonts w:ascii="Times New Roman" w:hAnsi="Times New Roman"/>
            <w:b w:val="false"/>
            <w:i w:val="false"/>
            <w:color w:val="000000"/>
            <w:sz w:val="22"/>
          </w:rPr>
          <w:t>rule 187—7.10(17A,22)</w:t>
        </w:r>
      </w:hyperlink>
      <w:r>
        <w:rPr>
          <w:rFonts w:ascii="Times New Roman" w:hAnsi="Times New Roman"/>
          <w:b w:val="false"/>
          <w:i w:val="false"/>
          <w:color w:val="000000"/>
          <w:sz w:val="22"/>
        </w:rPr>
        <w:t xml:space="preserve"> or in any notice given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the head of such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 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7">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i w:val="false"/>
          <w:color w:val="000000"/>
          <w:sz w:val="22"/>
        </w:rPr>
        <w:t>187—7.10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val="false"/>
          <w:color w:val="000000"/>
          <w:sz w:val="22"/>
        </w:rPr>
        <w:t xml:space="preserve">“Routine use”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agency who have a need for the record in the performance of their duties. The custodian of the record may upon request of any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and appeals for matters in which it is performing services or functions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agency,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i w:val="false"/>
          <w:color w:val="000000"/>
          <w:sz w:val="22"/>
        </w:rPr>
        <w:t>187—7.11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To the extent permitted by law, the subject may consent in writing to agency disclosure of confidential records as provided in rule 187—7.7(17A,22).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the agency may, to the extent permitted by law, be treated as an authorization to release sufficient information about the subject to the official to resolve the matter.</w:t>
      </w:r>
    </w:p>
    <w:p>
      <w:pPr>
        <w:spacing w:before="0" w:after="0"/>
        <w:ind w:left="120"/>
        <w:jc w:val="both"/>
      </w:pPr>
      <w:r>
        <w:rPr>
          <w:rFonts w:ascii="Times New Roman" w:hAnsi="Times New Roman"/>
          <w:b/>
          <w:i w:val="false"/>
          <w:color w:val="000000"/>
          <w:sz w:val="22"/>
        </w:rPr>
        <w:t>187—7.12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w:t>
      </w:r>
      <w:r>
        <w:rPr>
          <w:rFonts w:ascii="Times New Roman" w:hAnsi="Times New Roman"/>
          <w:b w:val="false"/>
          <w:i w:val="false"/>
          <w:color w:val="000000"/>
          <w:sz w:val="22"/>
        </w:rPr>
        <w:t> </w:t>
      </w:r>
      <w:r>
        <w:rPr>
          <w:rFonts w:ascii="Times New Roman" w:hAnsi="Times New Roman"/>
          <w:b w:val="false"/>
          <w:i w:val="false"/>
          <w:color w:val="000000"/>
          <w:sz w:val="22"/>
        </w:rPr>
        <w:t>The subject of a confidential record may file a written request to review confidential records about that person, as provided in rule 187—7.6(17A,22). However, the agency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subsection </w:t>
      </w:r>
      <w:hyperlink r:id="rId9">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the Iowa Code. (See Iowa Code subsection </w:t>
      </w:r>
      <w:hyperlink r:id="rId10">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agency may take reasonable steps to protect confidential information relating to another subject.</w:t>
      </w:r>
    </w:p>
    <w:p>
      <w:pPr>
        <w:spacing w:before="0" w:after="0"/>
        <w:ind w:left="120"/>
        <w:jc w:val="both"/>
      </w:pPr>
      <w:r>
        <w:rPr>
          <w:rFonts w:ascii="Times New Roman" w:hAnsi="Times New Roman"/>
          <w:b/>
          <w:i w:val="false"/>
          <w:color w:val="000000"/>
          <w:sz w:val="22"/>
        </w:rPr>
        <w:t>187—7.13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Agency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Tax records made available to the agency (Iowa Code sections </w:t>
      </w:r>
      <w:hyperlink r:id="rId11">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exempt from disclosure under Iowa Code section </w:t>
      </w:r>
      <w:hyperlink r:id="rId1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closed meetings of a government body (Iowa Code subsection </w:t>
      </w:r>
      <w:hyperlink r:id="rId14">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15">
        <w:r>
          <w:rPr>
            <w:rStyle w:val="Hyperlink"/>
            <w:rFonts w:ascii="Times New Roman" w:hAnsi="Times New Roman"/>
            <w:b w:val="false"/>
            <w:i w:val="false"/>
            <w:color w:val="000000"/>
            <w:sz w:val="22"/>
          </w:rPr>
          <w:t>17A.3(1)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Those portions of agency staff manuals, instructions or other statements issued which set forth criteria or guidelines to be used by agency staff in auditing, in making inspections, in settling commercial disputes or negotiating commercial arrangements, or in the selection or handling of cases, such as operational tactics or allowable tolerances or criteria for the defense, prosecution or settlement of cases,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Give a clearly improper advantage to persons who are in an adverse position to the agency (Iowa Code sections </w:t>
      </w:r>
      <w:hyperlink r:id="rId16">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All papers, documents, reports (including shareholder lists furnished to the superintendent pursuant to Iowa Code section </w:t>
      </w:r>
      <w:hyperlink r:id="rId18">
        <w:r>
          <w:rPr>
            <w:rStyle w:val="Hyperlink"/>
            <w:rFonts w:ascii="Times New Roman" w:hAnsi="Times New Roman"/>
            <w:b w:val="false"/>
            <w:i w:val="false"/>
            <w:color w:val="000000"/>
            <w:sz w:val="22"/>
          </w:rPr>
          <w:t>524.541</w:t>
        </w:r>
      </w:hyperlink>
      <w:r>
        <w:rPr>
          <w:rFonts w:ascii="Times New Roman" w:hAnsi="Times New Roman"/>
          <w:b w:val="false"/>
          <w:i w:val="false"/>
          <w:color w:val="000000"/>
          <w:sz w:val="22"/>
        </w:rPr>
        <w:t xml:space="preserve">), reports of examinations and other writings relating specifically to the supervision and regulation of any state bank or other person by the superintendent pursuant to the laws of this state (Iowa Code section </w:t>
      </w:r>
      <w:hyperlink r:id="rId19">
        <w:r>
          <w:rPr>
            <w:rStyle w:val="Hyperlink"/>
            <w:rFonts w:ascii="Times New Roman" w:hAnsi="Times New Roman"/>
            <w:b w:val="false"/>
            <w:i w:val="false"/>
            <w:color w:val="000000"/>
            <w:sz w:val="22"/>
          </w:rPr>
          <w:t>524.215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Reports of examinations conducted by the superintendent and reports of examination received by or furnished to the superintendent pursuant to Iowa Code section </w:t>
      </w:r>
      <w:hyperlink r:id="rId20">
        <w:r>
          <w:rPr>
            <w:rStyle w:val="Hyperlink"/>
            <w:rFonts w:ascii="Times New Roman" w:hAnsi="Times New Roman"/>
            <w:b w:val="false"/>
            <w:i w:val="false"/>
            <w:color w:val="000000"/>
            <w:sz w:val="22"/>
          </w:rPr>
          <w:t>524.217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All information obtained by examiners and described in Iowa Code section </w:t>
      </w:r>
      <w:hyperlink r:id="rId21">
        <w:r>
          <w:rPr>
            <w:rStyle w:val="Hyperlink"/>
            <w:rFonts w:ascii="Times New Roman" w:hAnsi="Times New Roman"/>
            <w:b w:val="false"/>
            <w:i w:val="false"/>
            <w:color w:val="000000"/>
            <w:sz w:val="22"/>
          </w:rPr>
          <w:t>524.212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applications, reports, materials, documents, information and other writings obtained from the Federal Deposit Insurance Corporation, Federal Reserve Bank, Comptroller of the Currency or any agency of the United States government which would cause the denial of services or information to the agency. (Iowa Code section </w:t>
      </w:r>
      <w:hyperlink r:id="rId22">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the Privacy Act of 1974 (5 U.S.C. 552a) and Part 310 of the Federal Deposit Insurance Corporation Rules and Regulations (12 CFR 310).)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attorney-client communications, or which are otherwise privileged. Attorney work product is confidential under Iowa Code sections </w:t>
      </w:r>
      <w:hyperlink r:id="rId23">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Iowa R.C.P. 122(c), Fed.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 Civ.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P. 26(b)(3), and case law. Attorney-client communications are confidential under Iowa Code sections </w:t>
      </w:r>
      <w:hyperlink r:id="rId26">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Any other information made confidential by law.</w:t>
      </w:r>
    </w:p>
    <w:p>
      <w:pPr>
        <w:spacing w:before="0" w:after="0"/>
        <w:ind w:left="120"/>
        <w:jc w:val="both"/>
      </w:pPr>
      <w:r>
        <w:rPr>
          <w:rFonts w:ascii="Times New Roman" w:hAnsi="Times New Roman"/>
          <w:b/>
          <w:i w:val="false"/>
          <w:color w:val="000000"/>
          <w:sz w:val="22"/>
        </w:rPr>
        <w:t>187—7.14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that is collected, maintained, and retrieved by the agency by personal identifier in record systems as defined in </w:t>
      </w:r>
      <w:hyperlink r:id="rId28">
        <w:r>
          <w:rPr>
            <w:rStyle w:val="Hyperlink"/>
            <w:rFonts w:ascii="Times New Roman" w:hAnsi="Times New Roman"/>
            <w:b w:val="false"/>
            <w:i w:val="false"/>
            <w:color w:val="000000"/>
            <w:sz w:val="22"/>
          </w:rPr>
          <w:t>rule 187—7.1(17A,22)</w:t>
        </w:r>
      </w:hyperlink>
      <w:r>
        <w:rPr>
          <w:rFonts w:ascii="Times New Roman" w:hAnsi="Times New Roman"/>
          <w:b w:val="false"/>
          <w:i w:val="false"/>
          <w:color w:val="000000"/>
          <w:sz w:val="22"/>
        </w:rPr>
        <w:t>. The division of banking does not maintain groups of records to be retrieved by individual identifiers. Division records concerning regulated entities may contain financial and other personal information about individuals who are officers, shareholders, employees, or customers of regulated entities or do business with them. The division of banking does not currently have a data processing system which matches, collates, or permits the comparison of personally identifiable information in one record system with personally identifiable information in another record system.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agency maintains files containing information about employees, families and dependents, and applicants for positions with the agency. The files include an individual’s employment history, such as hiring and recruitment correspondence, salary, payroll and benefit information, record of personnel actions, military status, affirmative action statistics, education and training completed, professional certification achievements, professional organizational involvement, performance evaluation reports, and other information concerning the employer-employee relationship. This information is collected pursuant to Iowa Code section </w:t>
      </w:r>
      <w:hyperlink r:id="rId29">
        <w:r>
          <w:rPr>
            <w:rStyle w:val="Hyperlink"/>
            <w:rFonts w:ascii="Times New Roman" w:hAnsi="Times New Roman"/>
            <w:b w:val="false"/>
            <w:i w:val="false"/>
            <w:color w:val="000000"/>
            <w:sz w:val="22"/>
          </w:rPr>
          <w:t>524.208</w:t>
        </w:r>
      </w:hyperlink>
      <w:r>
        <w:rPr>
          <w:rFonts w:ascii="Times New Roman" w:hAnsi="Times New Roman"/>
          <w:b w:val="false"/>
          <w:i w:val="false"/>
          <w:color w:val="000000"/>
          <w:sz w:val="22"/>
        </w:rPr>
        <w:t xml:space="preserve">, and some of the information is confidential under Iowa Code sections </w:t>
      </w:r>
      <w:hyperlink r:id="rId30">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The information is maintained on paper; and certain parts are also contained on the agency’s data processing system, as well as the state’s mainframe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w:t>
      </w:r>
      <w:r>
        <w:rPr>
          <w:rFonts w:ascii="Times New Roman" w:hAnsi="Times New Roman"/>
          <w:b w:val="false"/>
          <w:i w:val="false"/>
          <w:color w:val="000000"/>
          <w:sz w:val="22"/>
        </w:rPr>
        <w:t> </w:t>
      </w:r>
      <w:r>
        <w:rPr>
          <w:rFonts w:ascii="Times New Roman" w:hAnsi="Times New Roman"/>
          <w:b w:val="false"/>
          <w:i/>
          <w:color w:val="000000"/>
          <w:sz w:val="22"/>
        </w:rPr>
        <w:t xml:space="preserve">Payroll records. </w:t>
      </w:r>
      <w:r>
        <w:rPr>
          <w:rFonts w:ascii="Times New Roman" w:hAnsi="Times New Roman"/>
          <w:b w:val="false"/>
          <w:i w:val="false"/>
          <w:color w:val="000000"/>
          <w:sz w:val="22"/>
        </w:rPr>
        <w:t xml:space="preserve">Records showing individual earnings, hours worked, leave usage, class, position, salary range, deductions, net pay with agency summaries, and other related information. These records contain personally identifiable information collected under the authority of Iowa Code section </w:t>
      </w:r>
      <w:hyperlink r:id="rId32">
        <w:r>
          <w:rPr>
            <w:rStyle w:val="Hyperlink"/>
            <w:rFonts w:ascii="Times New Roman" w:hAnsi="Times New Roman"/>
            <w:b w:val="false"/>
            <w:i w:val="false"/>
            <w:color w:val="000000"/>
            <w:sz w:val="22"/>
          </w:rPr>
          <w:t>524.208</w:t>
        </w:r>
      </w:hyperlink>
      <w:r>
        <w:rPr>
          <w:rFonts w:ascii="Times New Roman" w:hAnsi="Times New Roman"/>
          <w:b w:val="false"/>
          <w:i w:val="false"/>
          <w:color w:val="000000"/>
          <w:sz w:val="22"/>
        </w:rPr>
        <w:t xml:space="preserve">, and some of the information may be confidential under Iowa Code section </w:t>
      </w:r>
      <w:hyperlink r:id="rId33">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The information is maintained on paper, with certain records maintained on the state’s payroll automated data processing system.</w:t>
      </w:r>
    </w:p>
    <w:p>
      <w:pPr>
        <w:spacing w:before="0" w:after="0"/>
        <w:ind w:left="120"/>
        <w:jc w:val="both"/>
      </w:pPr>
      <w:r>
        <w:rPr>
          <w:rFonts w:ascii="Times New Roman" w:hAnsi="Times New Roman"/>
          <w:b/>
          <w:i w:val="false"/>
          <w:color w:val="000000"/>
          <w:sz w:val="22"/>
        </w:rPr>
        <w:t>187—7.15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routinely available for public inspection. </w:t>
      </w:r>
      <w:r>
        <w:rPr>
          <w:rFonts w:ascii="Times New Roman" w:hAnsi="Times New Roman"/>
          <w:b w:val="false"/>
          <w:i w:val="false"/>
          <w:color w:val="000000"/>
          <w:sz w:val="22"/>
        </w:rPr>
        <w:t xml:space="preserve">This rule describes groups of records maintained by the agency other than record systems as defined in </w:t>
      </w:r>
      <w:hyperlink r:id="rId34">
        <w:r>
          <w:rPr>
            <w:rStyle w:val="Hyperlink"/>
            <w:rFonts w:ascii="Times New Roman" w:hAnsi="Times New Roman"/>
            <w:b w:val="false"/>
            <w:i w:val="false"/>
            <w:color w:val="000000"/>
            <w:sz w:val="22"/>
          </w:rPr>
          <w:t>rule 187—7.1(17A,22)</w:t>
        </w:r>
      </w:hyperlink>
      <w:r>
        <w:rPr>
          <w:rFonts w:ascii="Times New Roman" w:hAnsi="Times New Roman"/>
          <w:b w:val="false"/>
          <w:i w:val="false"/>
          <w:color w:val="000000"/>
          <w:sz w:val="22"/>
        </w:rPr>
        <w:t xml:space="preserve">. These records are routinely available to the public. However, the agency’s files of these records may contain confidential information. In addition, the records listed in </w:t>
      </w:r>
      <w:hyperlink r:id="rId35">
        <w:r>
          <w:rPr>
            <w:rStyle w:val="Hyperlink"/>
            <w:rFonts w:ascii="Times New Roman" w:hAnsi="Times New Roman"/>
            <w:b w:val="false"/>
            <w:i w:val="false"/>
            <w:color w:val="000000"/>
            <w:sz w:val="22"/>
          </w:rPr>
          <w:t>subrules 7.15(1)</w:t>
        </w:r>
      </w:hyperlink>
      <w:r>
        <w:rPr>
          <w:rFonts w:ascii="Times New Roman" w:hAnsi="Times New Roman"/>
          <w:b w:val="false"/>
          <w:i w:val="false"/>
          <w:color w:val="000000"/>
          <w:sz w:val="22"/>
        </w:rPr>
        <w:t xml:space="preserve"> to </w:t>
      </w:r>
      <w:hyperlink r:id="rId36">
        <w:r>
          <w:rPr>
            <w:rStyle w:val="Hyperlink"/>
            <w:rFonts w:ascii="Times New Roman" w:hAnsi="Times New Roman"/>
            <w:b w:val="false"/>
            <w:i w:val="false"/>
            <w:color w:val="000000"/>
            <w:sz w:val="22"/>
          </w:rPr>
          <w:t>7.15(4)</w:t>
        </w:r>
      </w:hyperlink>
      <w:r>
        <w:rPr>
          <w:rFonts w:ascii="Times New Roman" w:hAnsi="Times New Roman"/>
          <w:b w:val="false"/>
          <w:i w:val="false"/>
          <w:color w:val="000000"/>
          <w:sz w:val="22"/>
        </w:rPr>
        <w:t xml:space="preserve"> may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w:t>
      </w:r>
      <w:r>
        <w:rPr>
          <w:rFonts w:ascii="Times New Roman" w:hAnsi="Times New Roman"/>
          <w:b w:val="false"/>
          <w:i w:val="false"/>
          <w:color w:val="000000"/>
          <w:sz w:val="22"/>
        </w:rPr>
        <w:t> </w:t>
      </w:r>
      <w:r>
        <w:rPr>
          <w:rFonts w:ascii="Times New Roman" w:hAnsi="Times New Roman"/>
          <w:b w:val="false"/>
          <w:i/>
          <w:color w:val="000000"/>
          <w:sz w:val="22"/>
        </w:rPr>
        <w:t xml:space="preserve">Rule making.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37">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7.15(2)</w:t>
      </w:r>
      <w:r>
        <w:rPr>
          <w:rFonts w:ascii="Times New Roman" w:hAnsi="Times New Roman"/>
          <w:b w:val="false"/>
          <w:i w:val="false"/>
          <w:color w:val="000000"/>
          <w:sz w:val="22"/>
        </w:rPr>
        <w:t> </w:t>
      </w:r>
      <w:r>
        <w:rPr>
          <w:rFonts w:ascii="Times New Roman" w:hAnsi="Times New Roman"/>
          <w:b w:val="false"/>
          <w:i/>
          <w:color w:val="000000"/>
          <w:sz w:val="22"/>
        </w:rPr>
        <w:t xml:space="preserve">Banking council records. </w:t>
      </w:r>
      <w:r>
        <w:rPr>
          <w:rFonts w:ascii="Times New Roman" w:hAnsi="Times New Roman"/>
          <w:b w:val="false"/>
          <w:i w:val="false"/>
          <w:color w:val="000000"/>
          <w:sz w:val="22"/>
        </w:rPr>
        <w:t xml:space="preserve">Agendas, minutes and materials presented to the Iowa division of banking council are available from the office of the Iowa division of banking, except those records concerning closed sessions which are exempt from disclosure under Iowa Code section </w:t>
      </w:r>
      <w:hyperlink r:id="rId38">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or which are otherwise confidential by law. Banking council records contain information about people who participate in meetings. This information is collected pursuant to Iowa Code section </w:t>
      </w:r>
      <w:hyperlink r:id="rId39">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retrieved by individual identifier and is not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annual reports, project reports, agency newsletters, etc., are available from the office of the Iowa division of banking.</w:t>
      </w:r>
    </w:p>
    <w:p>
      <w:pPr>
        <w:spacing w:before="0" w:after="0"/>
        <w:ind w:left="120"/>
        <w:jc w:val="both"/>
      </w:pPr>
      <w:r>
        <w:rPr>
          <w:rFonts w:ascii="Times New Roman" w:hAnsi="Times New Roman"/>
          <w:b w:val="false"/>
          <w:i w:val="false"/>
          <w:color w:val="000000"/>
          <w:sz w:val="22"/>
        </w:rPr>
        <w:t>Agency news releases, project reports, and newsletters may contain information about individuals, including agency staff or members of agency councils or committees. This information is not retrieved by individual identifier and is not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7.15(4)</w:t>
      </w:r>
      <w:r>
        <w:rPr>
          <w:rFonts w:ascii="Times New Roman" w:hAnsi="Times New Roman"/>
          <w:b w:val="false"/>
          <w:i w:val="false"/>
          <w:color w:val="000000"/>
          <w:sz w:val="22"/>
        </w:rPr>
        <w:t> </w:t>
      </w:r>
      <w:r>
        <w:rPr>
          <w:rFonts w:ascii="Times New Roman" w:hAnsi="Times New Roman"/>
          <w:b w:val="false"/>
          <w:i/>
          <w:color w:val="000000"/>
          <w:sz w:val="22"/>
        </w:rPr>
        <w:t xml:space="preserve">Orders issued by the superintendent. </w:t>
      </w:r>
      <w:r>
        <w:rPr>
          <w:rFonts w:ascii="Times New Roman" w:hAnsi="Times New Roman"/>
          <w:b w:val="false"/>
          <w:i w:val="false"/>
          <w:color w:val="000000"/>
          <w:sz w:val="22"/>
        </w:rPr>
        <w:t xml:space="preserve">All findings of fact, conclusions of law, and orders issued by the superintendent subsequent to a public hearing under the provisions of chapter </w:t>
      </w:r>
      <w:hyperlink r:id="rId4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except as otherwise provided by law. (See Iowa Code section </w:t>
      </w:r>
      <w:hyperlink r:id="rId41">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These records may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7.15(5)</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agency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7.15(6)</w:t>
      </w:r>
      <w:r>
        <w:rPr>
          <w:rFonts w:ascii="Times New Roman" w:hAnsi="Times New Roman"/>
          <w:b w:val="false"/>
          <w:i w:val="false"/>
          <w:color w:val="000000"/>
          <w:sz w:val="22"/>
        </w:rPr>
        <w:t> </w:t>
      </w:r>
      <w:r>
        <w:rPr>
          <w:rFonts w:ascii="Times New Roman" w:hAnsi="Times New Roman"/>
          <w:b w:val="false"/>
          <w:i/>
          <w:color w:val="000000"/>
          <w:sz w:val="22"/>
        </w:rPr>
        <w:t xml:space="preserve">Policy manuals. </w:t>
      </w:r>
      <w:r>
        <w:rPr>
          <w:rFonts w:ascii="Times New Roman" w:hAnsi="Times New Roman"/>
          <w:b w:val="false"/>
          <w:i w:val="false"/>
          <w:color w:val="000000"/>
          <w:sz w:val="22"/>
        </w:rPr>
        <w:t>The agency’s employees’ manual, containing information concerning policies and procedures for programs administered by the agency, is available in the office of the agency. Policy manuals do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7.15(7)</w:t>
      </w:r>
      <w:r>
        <w:rPr>
          <w:rFonts w:ascii="Times New Roman" w:hAnsi="Times New Roman"/>
          <w:b w:val="false"/>
          <w:i w:val="false"/>
          <w:color w:val="000000"/>
          <w:sz w:val="22"/>
        </w:rPr>
        <w:t> </w:t>
      </w:r>
      <w:r>
        <w:rPr>
          <w:rFonts w:ascii="Times New Roman" w:hAnsi="Times New Roman"/>
          <w:b w:val="false"/>
          <w:i/>
          <w:color w:val="000000"/>
          <w:sz w:val="22"/>
        </w:rPr>
        <w:t xml:space="preserve">Reports to superintendent. </w:t>
      </w:r>
      <w:r>
        <w:rPr>
          <w:rFonts w:ascii="Times New Roman" w:hAnsi="Times New Roman"/>
          <w:b w:val="false"/>
          <w:i w:val="false"/>
          <w:color w:val="000000"/>
          <w:sz w:val="22"/>
        </w:rPr>
        <w:t xml:space="preserve">Reports obtained by the superintendent pursuant to the provisions of Iowa Code section </w:t>
      </w:r>
      <w:hyperlink r:id="rId42">
        <w:r>
          <w:rPr>
            <w:rStyle w:val="Hyperlink"/>
            <w:rFonts w:ascii="Times New Roman" w:hAnsi="Times New Roman"/>
            <w:b w:val="false"/>
            <w:i w:val="false"/>
            <w:color w:val="000000"/>
            <w:sz w:val="22"/>
          </w:rPr>
          <w:t>524.220</w:t>
        </w:r>
      </w:hyperlink>
      <w:r>
        <w:rPr>
          <w:rFonts w:ascii="Times New Roman" w:hAnsi="Times New Roman"/>
          <w:b w:val="false"/>
          <w:i w:val="false"/>
          <w:color w:val="000000"/>
          <w:sz w:val="22"/>
        </w:rPr>
        <w:t>. These reports are considered open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7.15(8)</w:t>
      </w:r>
      <w:r>
        <w:rPr>
          <w:rFonts w:ascii="Times New Roman" w:hAnsi="Times New Roman"/>
          <w:b w:val="false"/>
          <w:i w:val="false"/>
          <w:color w:val="000000"/>
          <w:sz w:val="22"/>
        </w:rPr>
        <w:t> </w:t>
      </w:r>
      <w:r>
        <w:rPr>
          <w:rFonts w:ascii="Times New Roman" w:hAnsi="Times New Roman"/>
          <w:b w:val="false"/>
          <w:i/>
          <w:color w:val="000000"/>
          <w:sz w:val="22"/>
        </w:rPr>
        <w:t xml:space="preserve">Officers and directors. </w:t>
      </w:r>
      <w:r>
        <w:rPr>
          <w:rFonts w:ascii="Times New Roman" w:hAnsi="Times New Roman"/>
          <w:b w:val="false"/>
          <w:i w:val="false"/>
          <w:color w:val="000000"/>
          <w:sz w:val="22"/>
        </w:rPr>
        <w:t xml:space="preserve">Lists of officers and directors filed with the superintendent pursuant to the provisions of Iowa Code section </w:t>
      </w:r>
      <w:hyperlink r:id="rId43">
        <w:r>
          <w:rPr>
            <w:rStyle w:val="Hyperlink"/>
            <w:rFonts w:ascii="Times New Roman" w:hAnsi="Times New Roman"/>
            <w:b w:val="false"/>
            <w:i w:val="false"/>
            <w:color w:val="000000"/>
            <w:sz w:val="22"/>
          </w:rPr>
          <w:t>524.541</w:t>
        </w:r>
      </w:hyperlink>
      <w:r>
        <w:rPr>
          <w:rFonts w:ascii="Times New Roman" w:hAnsi="Times New Roman"/>
          <w:b w:val="false"/>
          <w:i w:val="false"/>
          <w:color w:val="000000"/>
          <w:sz w:val="22"/>
        </w:rPr>
        <w:t>. These reports are considered open records, with the exception that lists of shareholders are confidential and not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7.15(9)</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All other records that are not exempted from disclosure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4056C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187—7.16</w:t>
      </w:r>
      <w:r>
        <w:rPr>
          <w:rFonts w:ascii="Times New Roman" w:hAnsi="Times New Roman"/>
          <w:b/>
          <w:i w:val="false"/>
          <w:color w:val="000000"/>
          <w:sz w:val="22"/>
        </w:rPr>
        <w:t xml:space="preserve">(17A,22)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 the agency to index or retrieve records which contain information about individuals by that person’s name or other personal identifier.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Make available to the general public records which would otherwise not be available under the public records law, Iowa Code chapter </w:t>
      </w:r>
      <w:hyperlink r:id="rId4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Govern the maintenance or disclosure of, notification of or access to, records in the possession of the agency which are governed by the rules of another agency.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Make available records compiled by the agency in reasonable anticipation of court litigation or formal administrative proceedings. The availability of such records to the general public or to any subject individual or party to such litigation or proceedings shall be governed by applicable legal and constitutional principles, statutes, rules of discovery, evidentiary privileges, and applicable rules of the agency.</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45">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4/28/88, Notice 3/23/88—published 5/18/88, effective 7/1/88]</w:t>
      </w:r>
    </w:p>
    <w:p>
      <w:pPr>
        <w:spacing w:before="0" w:after="0"/>
        <w:ind w:left="120"/>
        <w:jc w:val="center"/>
      </w:pPr>
      <w:r>
        <w:rPr>
          <w:rFonts w:ascii="Times New Roman" w:hAnsi="Times New Roman"/>
          <w:b w:val="false"/>
          <w:i w:val="false"/>
          <w:color w:val="000000"/>
          <w:sz w:val="21"/>
        </w:rPr>
        <w:t>[Filed 9/17/96, Notice 7/17/96—published 10/9/96, effective 11/13/96]</w:t>
      </w:r>
    </w:p>
    <w:p>
      <w:pPr>
        <w:spacing w:before="0" w:after="0"/>
        <w:ind w:left="120"/>
        <w:jc w:val="center"/>
      </w:pPr>
      <w:r>
        <w:rPr>
          <w:rFonts w:ascii="Times New Roman" w:hAnsi="Times New Roman"/>
          <w:b w:val="false"/>
          <w:i w:val="false"/>
          <w:color w:val="000000"/>
          <w:sz w:val="21"/>
        </w:rPr>
        <w:t>[Filed 8/2/00, Notice 6/28/00—published 8/23/00, effective 9/27/00]</w:t>
      </w:r>
    </w:p>
    <w:p>
      <w:pPr>
        <w:spacing w:before="0" w:after="0"/>
        <w:ind w:left="120"/>
        <w:jc w:val="center"/>
      </w:pPr>
      <w:r>
        <w:rPr>
          <w:rFonts w:ascii="Times New Roman" w:hAnsi="Times New Roman"/>
          <w:b w:val="false"/>
          <w:i w:val="false"/>
          <w:color w:val="000000"/>
          <w:sz w:val="21"/>
        </w:rPr>
        <w:t>[Filed 2/10/05, Notice 1/5/05—published 3/2/05, effective 4/6/05]</w:t>
      </w:r>
    </w:p>
    <w:p>
      <w:pPr>
        <w:spacing w:before="0" w:after="0"/>
        <w:ind w:left="120"/>
        <w:jc w:val="center"/>
      </w:pPr>
      <w:r>
        <w:rPr>
          <w:rFonts w:ascii="Times New Roman" w:hAnsi="Times New Roman"/>
          <w:b w:val="false"/>
          <w:i w:val="false"/>
          <w:color w:val="000000"/>
          <w:sz w:val="21"/>
        </w:rPr>
        <w:t>[Filed ARC 4056C</w:t>
      </w:r>
      <w:r>
        <w:rPr>
          <w:rFonts w:ascii="Times New Roman" w:hAnsi="Times New Roman"/>
          <w:b w:val="false"/>
          <w:i w:val="false"/>
          <w:color w:val="000000"/>
          <w:sz w:val="21"/>
        </w:rPr>
        <w:t xml:space="preserve"> (Notice ARC 3948C, IAB 8/15/18)</w:t>
      </w:r>
      <w:r>
        <w:rPr>
          <w:rFonts w:ascii="Times New Roman" w:hAnsi="Times New Roman"/>
          <w:b w:val="false"/>
          <w:i w:val="false"/>
          <w:color w:val="000000"/>
          <w:sz w:val="21"/>
        </w:rPr>
        <w:t>, IAB 10/10/18, effective 11/14/18]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 TargetMode="External" Target="https://www.legis.iowa.gov/docs/iac/rule/187.7.10.pdf" Type="http://schemas.openxmlformats.org/officeDocument/2006/relationships/hyperlink" Id="rId6"/>
    <Relationship TargetMode="External" Target="https://www.legis.iowa.gov/docs/ico/chapter/2A.3.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co/chapter/22.7.pdf" Type="http://schemas.openxmlformats.org/officeDocument/2006/relationships/hyperlink" Id="rId9"/>
    <Relationship TargetMode="External" Target="https://www.legis.iowa.gov/docs/ico/chapter/22.7.pdf" Type="http://schemas.openxmlformats.org/officeDocument/2006/relationships/hyperlink" Id="rId10"/>
    <Relationship TargetMode="External" Target="https://www.legis.iowa.gov/docs/ico/chapter/422.20.pdf" Type="http://schemas.openxmlformats.org/officeDocument/2006/relationships/hyperlink" Id="rId11"/>
    <Relationship TargetMode="External" Target="https://www.legis.iowa.gov/docs/ico/chapter/422.72.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co/chapter/21.5.pdf" Type="http://schemas.openxmlformats.org/officeDocument/2006/relationships/hyperlink" Id="rId14"/>
    <Relationship TargetMode="External" Target="https://www.legis.iowa.gov/docs/ico/chapter/17A.3.pdf" Type="http://schemas.openxmlformats.org/officeDocument/2006/relationships/hyperlink" Id="rId15"/>
    <Relationship TargetMode="External" Target="https://www.legis.iowa.gov/docs/ico/chapter/17A.2.pdf" Type="http://schemas.openxmlformats.org/officeDocument/2006/relationships/hyperlink" Id="rId16"/>
    <Relationship TargetMode="External" Target="https://www.legis.iowa.gov/docs/ico/chapter/17A.3.pdf" Type="http://schemas.openxmlformats.org/officeDocument/2006/relationships/hyperlink" Id="rId17"/>
    <Relationship TargetMode="External" Target="https://www.legis.iowa.gov/docs/ico/chapter/524.541.pdf" Type="http://schemas.openxmlformats.org/officeDocument/2006/relationships/hyperlink" Id="rId18"/>
    <Relationship TargetMode="External" Target="https://www.legis.iowa.gov/docs/ico/chapter/524.215.pdf" Type="http://schemas.openxmlformats.org/officeDocument/2006/relationships/hyperlink" Id="rId19"/>
    <Relationship TargetMode="External" Target="https://www.legis.iowa.gov/docs/ico/chapter/524.217.pdf" Type="http://schemas.openxmlformats.org/officeDocument/2006/relationships/hyperlink" Id="rId20"/>
    <Relationship TargetMode="External" Target="https://www.legis.iowa.gov/docs/ico/chapter/524.212.pdf" Type="http://schemas.openxmlformats.org/officeDocument/2006/relationships/hyperlink" Id="rId21"/>
    <Relationship TargetMode="External" Target="https://www.legis.iowa.gov/docs/ico/chapter/22.9.pdf" Type="http://schemas.openxmlformats.org/officeDocument/2006/relationships/hyperlink" Id="rId22"/>
    <Relationship TargetMode="External" Target="https://www.legis.iowa.gov/docs/ico/chapter/22.7.pdf" Type="http://schemas.openxmlformats.org/officeDocument/2006/relationships/hyperlink" Id="rId23"/>
    <Relationship TargetMode="External" Target="https://www.legis.iowa.gov/docs/ico/chapter/622.10.pdf" Type="http://schemas.openxmlformats.org/officeDocument/2006/relationships/hyperlink" Id="rId24"/>
    <Relationship TargetMode="External" Target="https://www.legis.iowa.gov/docs/ico/chapter/622.11.pdf" Type="http://schemas.openxmlformats.org/officeDocument/2006/relationships/hyperlink" Id="rId25"/>
    <Relationship TargetMode="External" Target="https://www.legis.iowa.gov/docs/ico/chapter/622.10.pdf" Type="http://schemas.openxmlformats.org/officeDocument/2006/relationships/hyperlink" Id="rId26"/>
    <Relationship TargetMode="External" Target="https://www.legis.iowa.gov/docs/ico/chapter/622.11.pdf" Type="http://schemas.openxmlformats.org/officeDocument/2006/relationships/hyperlink" Id="rId27"/>
    <Relationship TargetMode="External" Target="https://www.legis.iowa.gov/docs/iac/rule/187.7.1.pdf" Type="http://schemas.openxmlformats.org/officeDocument/2006/relationships/hyperlink" Id="rId28"/>
    <Relationship TargetMode="External" Target="https://www.legis.iowa.gov/docs/ico/chapter/524.208.pdf" Type="http://schemas.openxmlformats.org/officeDocument/2006/relationships/hyperlink" Id="rId29"/>
    <Relationship TargetMode="External" Target="https://www.legis.iowa.gov/docs/ico/chapter/22.7.pdf" Type="http://schemas.openxmlformats.org/officeDocument/2006/relationships/hyperlink" Id="rId30"/>
    <Relationship TargetMode="External" Target="https://www.legis.iowa.gov/docs/ico/chapter/22.7.pdf" Type="http://schemas.openxmlformats.org/officeDocument/2006/relationships/hyperlink" Id="rId31"/>
    <Relationship TargetMode="External" Target="https://www.legis.iowa.gov/docs/ico/chapter/524.208.pdf" Type="http://schemas.openxmlformats.org/officeDocument/2006/relationships/hyperlink" Id="rId32"/>
    <Relationship TargetMode="External" Target="https://www.legis.iowa.gov/docs/ico/chapter/22.7.pdf" Type="http://schemas.openxmlformats.org/officeDocument/2006/relationships/hyperlink" Id="rId33"/>
    <Relationship TargetMode="External" Target="https://www.legis.iowa.gov/docs/iac/rule/187.7.1.pdf" Type="http://schemas.openxmlformats.org/officeDocument/2006/relationships/hyperlink" Id="rId34"/>
    <Relationship TargetMode="External" Target="https://www.legis.iowa.gov/docs/iac/rule/187.7.15.pdf" Type="http://schemas.openxmlformats.org/officeDocument/2006/relationships/hyperlink" Id="rId35"/>
    <Relationship TargetMode="External" Target="https://www.legis.iowa.gov/docs/iac/rule/187.7.15.pdf" Type="http://schemas.openxmlformats.org/officeDocument/2006/relationships/hyperlink" Id="rId36"/>
    <Relationship TargetMode="External" Target="https://www.legis.iowa.gov/docs/ico/chapter/17A.4.pdf" Type="http://schemas.openxmlformats.org/officeDocument/2006/relationships/hyperlink" Id="rId37"/>
    <Relationship TargetMode="External" Target="https://www.legis.iowa.gov/docs/ico/chapter/21.5.pdf" Type="http://schemas.openxmlformats.org/officeDocument/2006/relationships/hyperlink" Id="rId38"/>
    <Relationship TargetMode="External" Target="https://www.legis.iowa.gov/docs/ico/chapter/21.3.pdf" Type="http://schemas.openxmlformats.org/officeDocument/2006/relationships/hyperlink" Id="rId39"/>
    <Relationship TargetMode="External" Target="https://www.legis.iowa.gov/docs/ico/chapter/17A.pdf" Type="http://schemas.openxmlformats.org/officeDocument/2006/relationships/hyperlink" Id="rId40"/>
    <Relationship TargetMode="External" Target="https://www.legis.iowa.gov/docs/ico/chapter/17A.3.pdf" Type="http://schemas.openxmlformats.org/officeDocument/2006/relationships/hyperlink" Id="rId41"/>
    <Relationship TargetMode="External" Target="https://www.legis.iowa.gov/docs/ico/chapter/524.220.pdf" Type="http://schemas.openxmlformats.org/officeDocument/2006/relationships/hyperlink" Id="rId42"/>
    <Relationship TargetMode="External" Target="https://www.legis.iowa.gov/docs/ico/chapter/524.541.pdf" Type="http://schemas.openxmlformats.org/officeDocument/2006/relationships/hyperlink" Id="rId43"/>
    <Relationship TargetMode="External" Target="https://www.legis.iowa.gov/docs/ico/chapter/22.pdf" Type="http://schemas.openxmlformats.org/officeDocument/2006/relationships/hyperlink" Id="rId44"/>
    <Relationship TargetMode="External" Target="https://www.legis.iowa.gov/docs/ico/chapter/22.11.pdf" Type="http://schemas.openxmlformats.org/officeDocument/2006/relationships/hyperlink"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