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4/22/87, see Banking Department[140] Ch 3]</w:t>
      </w:r>
      <w:r>
        <w:br/>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division of banking for a declaratory order as to the applicability to specified circumstances of a statute, rule, or order within the primary jurisdiction of the division of banking, at the Iowa Division of Banking, Attn: Rules Coordinator, 200 East Grand Avenue, Suite 300, Des Moines, Iowa 50309-1827. A petition is deemed filed when it is received by that office. The division shall provide the petitioner with a file-stamped copy of the petition if the petitioner provides the division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887"/>
        <w:gridCol w:w="1573"/>
        <w:gridCol w:w="373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COMMERCE</w:t>
            </w:r>
          </w:p>
          <w:p>
            <w:pPr>
              <w:spacing w:before="0" w:after="0"/>
              <w:ind w:left="160"/>
              <w:jc w:val="center"/>
            </w:pPr>
            <w:r>
              <w:rPr>
                <w:rFonts w:ascii="Times New Roman" w:hAnsi="Times New Roman"/>
                <w:b w:val="false"/>
                <w:i w:val="false"/>
                <w:color w:val="000000"/>
                <w:sz w:val="16"/>
              </w:rPr>
              <w:t>DIVISION OF BANKING</w:t>
            </w:r>
          </w:p>
        </w:tc>
      </w:tr>
      <w:tr>
        <w:trPr>
          <w:trHeight w:val="1395" w:hRule="atLeast"/>
        </w:trPr>
        <w:tc>
          <w:tcPr>
            <w:tcW w:w="5887"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 (Cite provisions</w:t>
            </w:r>
          </w:p>
          <w:p>
            <w:pPr>
              <w:spacing w:before="0" w:after="0"/>
              <w:ind w:left="160"/>
              <w:jc w:val="left"/>
            </w:pPr>
            <w:r>
              <w:rPr>
                <w:rFonts w:ascii="Times New Roman" w:hAnsi="Times New Roman"/>
                <w:b w:val="false"/>
                <w:i w:val="false"/>
                <w:color w:val="000000"/>
                <w:sz w:val="16"/>
              </w:rPr>
              <w:t>of law involved).</w:t>
            </w:r>
          </w:p>
        </w:tc>
        <w:tc>
          <w:tcPr>
            <w:tcW w:w="157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10"/>
              </w:rPr>
              <w:t>}</w:t>
            </w:r>
          </w:p>
          <w:p>
            <w:pPr>
              <w:spacing w:before="0" w:after="0"/>
              <w:ind w:left="160"/>
              <w:jc w:val="center"/>
            </w:pPr>
            <w:r>
              <w:rPr>
                <w:rFonts w:ascii="Times New Roman" w:hAnsi="Times New Roman"/>
                <w:b w:val="false"/>
                <w:i w:val="false"/>
                <w:color w:val="000000"/>
                <w:sz w:val="110"/>
              </w:rPr>
              <w:t> </w:t>
            </w:r>
          </w:p>
        </w:tc>
        <w:tc>
          <w:tcPr>
            <w:tcW w:w="373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187—6.2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division shall give notice of the petition to all persons not served by the petitioner pursuant to </w:t>
      </w:r>
      <w:hyperlink r:id="rId6">
        <w:r>
          <w:rPr>
            <w:rStyle w:val="Hyperlink"/>
            <w:rFonts w:ascii="Times New Roman" w:hAnsi="Times New Roman"/>
            <w:b w:val="false"/>
            <w:i w:val="false"/>
            <w:color w:val="000000"/>
            <w:sz w:val="22"/>
          </w:rPr>
          <w:t>6.6</w:t>
        </w:r>
      </w:hyperlink>
      <w:r>
        <w:rPr>
          <w:rFonts w:ascii="Times New Roman" w:hAnsi="Times New Roman"/>
          <w:b w:val="false"/>
          <w:i w:val="false"/>
          <w:color w:val="000000"/>
          <w:sz w:val="22"/>
        </w:rPr>
        <w:t>(17A) to whom notice is required by any provision of law. The division may also give notice to any other persons.</w:t>
      </w:r>
    </w:p>
    <w:p>
      <w:pPr>
        <w:spacing w:before="0" w:after="0"/>
        <w:ind w:left="120"/>
        <w:jc w:val="both"/>
      </w:pPr>
      <w:r>
        <w:rPr>
          <w:rFonts w:ascii="Times New Roman" w:hAnsi="Times New Roman"/>
          <w:b/>
          <w:i w:val="false"/>
          <w:color w:val="000000"/>
          <w:sz w:val="22"/>
        </w:rPr>
        <w:t>187—6.3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six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division of banking.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Division of Banking, Attn: Rules Coordinator, 200 East Grand Avenue, Suite 300, Des Moines, Iowa 50309-1827. Such a petition is deemed filed when it is received by that office. The division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COMMERCE</w:t>
            </w:r>
          </w:p>
          <w:p>
            <w:pPr>
              <w:spacing w:before="0" w:after="0"/>
              <w:ind w:left="160"/>
              <w:jc w:val="center"/>
            </w:pPr>
            <w:r>
              <w:rPr>
                <w:rFonts w:ascii="Times New Roman" w:hAnsi="Times New Roman"/>
                <w:b w:val="false"/>
                <w:i w:val="false"/>
                <w:color w:val="000000"/>
                <w:sz w:val="16"/>
              </w:rPr>
              <w:t>DIVISION OF BANKING</w:t>
            </w:r>
          </w:p>
        </w:tc>
      </w:tr>
      <w:tr>
        <w:trPr>
          <w:trHeight w:val="139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 provisions</w:t>
            </w:r>
          </w:p>
          <w:p>
            <w:pPr>
              <w:spacing w:before="0" w:after="0"/>
              <w:ind w:left="160"/>
              <w:jc w:val="left"/>
            </w:pPr>
            <w:r>
              <w:rPr>
                <w:rFonts w:ascii="Times New Roman" w:hAnsi="Times New Roman"/>
                <w:b w:val="false"/>
                <w:i w:val="false"/>
                <w:color w:val="000000"/>
                <w:sz w:val="16"/>
              </w:rPr>
              <w:t>of law cited in original petition).</w:t>
            </w:r>
          </w:p>
        </w:tc>
        <w:tc>
          <w:tcPr>
            <w:tcW w:w="157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10"/>
              </w:rPr>
              <w:t>}</w:t>
            </w:r>
          </w:p>
          <w:p>
            <w:pPr>
              <w:spacing w:before="0" w:after="0"/>
              <w:ind w:left="160"/>
              <w:jc w:val="center"/>
            </w:pPr>
            <w:r>
              <w:rPr>
                <w:rFonts w:ascii="Times New Roman" w:hAnsi="Times New Roman"/>
                <w:b w:val="false"/>
                <w:i w:val="false"/>
                <w:color w:val="000000"/>
                <w:sz w:val="110"/>
              </w:rPr>
              <w:t> </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187—6.4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division of banking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187—6.5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Division of Banking, Attn: Rules Coordinator, 200 East Grand Avenue, Suite 300, Des Moines, Iowa 50309-1827.</w:t>
      </w:r>
    </w:p>
    <w:p>
      <w:pPr>
        <w:spacing w:before="0" w:after="0"/>
        <w:ind w:left="120"/>
        <w:jc w:val="both"/>
      </w:pPr>
      <w:r>
        <w:rPr>
          <w:rFonts w:ascii="Times New Roman" w:hAnsi="Times New Roman"/>
          <w:b/>
          <w:i w:val="false"/>
          <w:color w:val="000000"/>
          <w:sz w:val="22"/>
        </w:rPr>
        <w:t>187—6.6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Division of Banking, Attn: Rules Coordinator, 200 East Grand Avenue, Suite 300, Des Moines, Iowa 50309-1827. All petitions, briefs, or other papers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on contested cases </w:t>
      </w:r>
      <w:hyperlink r:id="rId7">
        <w:r>
          <w:rPr>
            <w:rStyle w:val="Hyperlink"/>
            <w:rFonts w:ascii="Times New Roman" w:hAnsi="Times New Roman"/>
            <w:b w:val="false"/>
            <w:i w:val="false"/>
            <w:color w:val="000000"/>
            <w:sz w:val="22"/>
          </w:rPr>
          <w:t>187—11.12</w:t>
        </w:r>
      </w:hyperlink>
      <w:r>
        <w:rPr>
          <w:rFonts w:ascii="Times New Roman" w:hAnsi="Times New Roman"/>
          <w:b w:val="false"/>
          <w:i w:val="false"/>
          <w:color w:val="000000"/>
          <w:sz w:val="22"/>
        </w:rPr>
        <w:t>(17A).</w:t>
      </w:r>
    </w:p>
    <w:p>
      <w:pPr>
        <w:spacing w:before="210" w:after="0"/>
        <w:ind w:left="120"/>
        <w:jc w:val="both"/>
      </w:pPr>
      <w:r>
        <w:rPr>
          <w:rFonts w:ascii="Times New Roman" w:hAnsi="Times New Roman"/>
          <w:b/>
          <w:i w:val="false"/>
          <w:color w:val="000000"/>
          <w:sz w:val="22"/>
        </w:rPr>
        <w:t>187—6.7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division of banking must schedule a brief and informal meeting between the original petitioner, all intervenors, and the division of banking, a member of the division of banking, or a member of the staff of the division of banking, to discuss the questions raised. The division may solicit comments from any person on the questions raised. Also, comments on the questions raised may be submitted to the division of banking by any person.</w:t>
      </w:r>
    </w:p>
    <w:p>
      <w:pPr>
        <w:spacing w:before="0" w:after="0"/>
        <w:ind w:left="120"/>
        <w:jc w:val="both"/>
      </w:pPr>
      <w:r>
        <w:rPr>
          <w:rFonts w:ascii="Times New Roman" w:hAnsi="Times New Roman"/>
          <w:b/>
          <w:i w:val="false"/>
          <w:color w:val="000000"/>
          <w:sz w:val="22"/>
        </w:rPr>
        <w:t>187—6.8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 xml:space="preserve">, after receipt of a petition for a declaratory order, the superintendent or the superintendent’s designee shall take action on the petition as required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rule on contested cases </w:t>
      </w:r>
      <w:hyperlink r:id="rId8">
        <w:r>
          <w:rPr>
            <w:rStyle w:val="Hyperlink"/>
            <w:rFonts w:ascii="Times New Roman" w:hAnsi="Times New Roman"/>
            <w:b w:val="false"/>
            <w:i w:val="false"/>
            <w:color w:val="000000"/>
            <w:sz w:val="22"/>
          </w:rPr>
          <w:t>187—11.2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187—6.9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not issue a declaratory order where prohibited by </w:t>
      </w:r>
      <w:r>
        <w:rPr>
          <w:rFonts w:ascii="Times New Roman" w:hAnsi="Times New Roman"/>
          <w:b w:val="false"/>
          <w:i w:val="false"/>
          <w:color w:val="000000"/>
          <w:sz w:val="22"/>
        </w:rPr>
        <w:t>1998 Iowa Acts, chapter 1202, section 13(1)</w:t>
      </w:r>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division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division of banking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division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division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division of banking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division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187—6.10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187—6.11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187—6.12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division of banking, the petitioner, and any intervenors and is applicable only in circumstances where the relevant facts and the law involved are indistinguishable from those on which the order was based. As to all other persons, a declaratory order serves only as precedent and is not binding on the division. The issuance of a declaratory order constitutes final division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3/16/79, Notice 2/7/79—published 4/4/79, effective 5/9/79]</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4/29/99, Notice 3/24/99—published 5/19/99, effective 6/23/99]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7.6.7.pdf" Type="http://schemas.openxmlformats.org/officeDocument/2006/relationships/hyperlink" Id="rId5"/>
    <Relationship TargetMode="External" Target="https://www.legis.iowa.gov/docs/iac/rule/187.6.6.pdf" Type="http://schemas.openxmlformats.org/officeDocument/2006/relationships/hyperlink" Id="rId6"/>
    <Relationship TargetMode="External" Target="https://www.legis.iowa.gov/docs/iac/rule/187.11.12.pdf" Type="http://schemas.openxmlformats.org/officeDocument/2006/relationships/hyperlink" Id="rId7"/>
    <Relationship TargetMode="External" Target="https://www.legis.iowa.gov/docs/iac/rule/187.11.2.pdf" Type="http://schemas.openxmlformats.org/officeDocument/2006/relationships/hyperlink" Id="rId8"/>
    <Relationship TargetMode="External" Target="https://www.legis.iowa.gov/docs/ico/chapter/17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