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187—12.1</w:t>
      </w:r>
      <w:r>
        <w:rPr>
          <w:rFonts w:ascii="Times New Roman" w:hAnsi="Times New Roman"/>
          <w:b/>
          <w:i w:val="false"/>
          <w:color w:val="000000"/>
          <w:sz w:val="22"/>
        </w:rPr>
        <w:t xml:space="preserve">(17A,524)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a uniform process for the granting of waivers from rules adopted by the superintendent in situations where no other more specifically applicable law provides for waivers. The intent of this chapter is to allow persons to seek exceptions to the application of rules issued by the superintendent. This chapter shall not apply to rules that merely define the meaning of a statute or other provision of law or precedent if the division does not possess delegated authority to bind the courts to any extent with its definition.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 xml:space="preserve">means the superintendent of banking appointed by the governor to direct and regulate banks pursuant to Iowa Code chapter </w:t>
      </w:r>
      <w:hyperlink r:id="rId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grant a waiver from a rule adopted by the superintendent only if (1) the superintendent has jurisdiction over the rule; (2) no statute or rule otherwise controls the granting of a waiver from the rule from which waiver is requested; and (3) the requested waiver is consistent with applicable statutes, constitutional provisions,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187—12.2</w:t>
      </w:r>
      <w:r>
        <w:rPr>
          <w:rFonts w:ascii="Times New Roman" w:hAnsi="Times New Roman"/>
          <w:b/>
          <w:i w:val="false"/>
          <w:color w:val="000000"/>
          <w:sz w:val="22"/>
        </w:rPr>
        <w:t xml:space="preserve">(17A,524) </w:t>
      </w:r>
      <w:r>
        <w:rPr>
          <w:rFonts w:ascii="Times New Roman" w:hAnsi="Times New Roman"/>
          <w:b/>
          <w:i w:val="false"/>
          <w:color w:val="000000"/>
          <w:sz w:val="22"/>
        </w:rPr>
        <w:t xml:space="preserve">Superintendent discretion. </w:t>
      </w:r>
      <w:r>
        <w:rPr>
          <w:rFonts w:ascii="Times New Roman" w:hAnsi="Times New Roman"/>
          <w:b w:val="false"/>
          <w:i w:val="false"/>
          <w:color w:val="000000"/>
          <w:sz w:val="22"/>
        </w:rPr>
        <w:t>The decision on whether the circumstances justify the granting of a waiver shall be made at the discretion of the superintendent upon consideration of all relevant factors. Each petition for a waiver shall be evaluated by the superintendent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superintendent may, in response to a completed petition, grant a waiver from a rule, in whole or in part, as applied to the circumstances of a specified situation if the superintendent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result in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a waiver should be granted, the superintendent shall consider the public interest, policies and legislative intent of the statute on which the rule is based. When the rule from which a waiver is sought establishes administrative deadlines, the superintendent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These uniform waiver rules shall not preclude the superintendent from granting waivers in other contexts if a statute or other rule authorizes the superintendent to do so and the superintendent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187—12.3</w:t>
      </w:r>
      <w:r>
        <w:rPr>
          <w:rFonts w:ascii="Times New Roman" w:hAnsi="Times New Roman"/>
          <w:b/>
          <w:i w:val="false"/>
          <w:color w:val="000000"/>
          <w:sz w:val="22"/>
        </w:rPr>
        <w:t xml:space="preserve">(17A,524)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waiver must be submitted in writing to the Banking Division, 200 East Grand Avenue, Suite 300, Des Moines, Iowa 50309.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specified in subrule </w:t>
      </w:r>
      <w:hyperlink r:id="rId6">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superintendent and the petitioner relating to the regulated activity, license, grant, loan or other financial assistance affected by the proposed waiver, including a description of each affected license, grant, loan or other financial assistance held by the requester, any notices of violation, contested case hearings, or investigative or examination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treatment of similar cases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superintendent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rule, the burden of persuasion shall be on the petitioner to demonstrate by clear and convincing evidence that the superintendent should exercise the superintendent’s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187—12.4</w:t>
      </w:r>
      <w:r>
        <w:rPr>
          <w:rFonts w:ascii="Times New Roman" w:hAnsi="Times New Roman"/>
          <w:b/>
          <w:i w:val="false"/>
          <w:color w:val="000000"/>
          <w:sz w:val="22"/>
        </w:rPr>
        <w:t xml:space="preserve">(17A,524) </w:t>
      </w:r>
      <w:r>
        <w:rPr>
          <w:rFonts w:ascii="Times New Roman" w:hAnsi="Times New Roman"/>
          <w:b/>
          <w:i w:val="false"/>
          <w:color w:val="000000"/>
          <w:sz w:val="22"/>
        </w:rPr>
        <w:t xml:space="preserve">Notice. </w:t>
      </w:r>
      <w:r>
        <w:rPr>
          <w:rFonts w:ascii="Times New Roman" w:hAnsi="Times New Roman"/>
          <w:b w:val="false"/>
          <w:i w:val="false"/>
          <w:color w:val="000000"/>
          <w:sz w:val="22"/>
        </w:rPr>
        <w:t>The superintendent shall acknowledge a petition upon receipt. The superintendent shall ensure that, within 30 days of the receipt of the petition, notice of the pendency of the petition and a concise summary of its contents have been provided to all persons to whom notice is required by any provision of law. In addition, the superintendent may give notice to other persons. To accomplish this notice provision, the superintendent may require the petitioner to serve the notice on all persons to whom notice is required by any provision of law and provide a written statement to the superintendent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187—12.5</w:t>
      </w:r>
      <w:r>
        <w:rPr>
          <w:rFonts w:ascii="Times New Roman" w:hAnsi="Times New Roman"/>
          <w:b/>
          <w:i w:val="false"/>
          <w:color w:val="000000"/>
          <w:sz w:val="22"/>
        </w:rPr>
        <w:t xml:space="preserve">(17A,524) </w:t>
      </w:r>
      <w:r>
        <w:rPr>
          <w:rFonts w:ascii="Times New Roman" w:hAnsi="Times New Roman"/>
          <w:b/>
          <w:i w:val="false"/>
          <w:color w:val="000000"/>
          <w:sz w:val="22"/>
        </w:rPr>
        <w:t xml:space="preserve">Superintendent’s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superintendent may request additional information from the petitioner relative to the petition and surrounding circumstances. If the petition was not filed in a contested case, the superintendent may, on the superintendent’s own motion or at the petitioner’s request, schedule a telephonic or in-person meeting between the petitioner and the superintendent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a rule filed within a contested case; (b) when the superintendent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superintendent may place any condition on a waiver that the superintendent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superintendent, a waiver may be renewed if the superintendent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superintendent shall grant or deny a petition for a waiver as soon as practicable but, in any event, shall do so within 120 days of its receipt, unless the petitioner agrees to a later date. However, if a petition is filed in a contested case, the superintendent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superintendent to grant or deny a petition within the required time period shall be deemed a denial of that petition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187—12.6</w:t>
      </w:r>
      <w:r>
        <w:rPr>
          <w:rFonts w:ascii="Times New Roman" w:hAnsi="Times New Roman"/>
          <w:b/>
          <w:i w:val="false"/>
          <w:color w:val="000000"/>
          <w:sz w:val="22"/>
        </w:rPr>
        <w:t xml:space="preserve">(17A,524)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waivers under this chapter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that the superintendent is authorized or required to keep confidential. The superintendent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187—12.7</w:t>
      </w:r>
      <w:r>
        <w:rPr>
          <w:rFonts w:ascii="Times New Roman" w:hAnsi="Times New Roman"/>
          <w:b/>
          <w:i w:val="false"/>
          <w:color w:val="000000"/>
          <w:sz w:val="22"/>
        </w:rPr>
        <w:t xml:space="preserve">(17A,524)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or petition is based are not true or if material facts have been withheld. A waiver issued by the superintendent pursuant to this chapter may be withdrawn, canceled, or modified if, after appropriate notice and opportunity for hearing, the superintendent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any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187—12.8</w:t>
      </w:r>
      <w:r>
        <w:rPr>
          <w:rFonts w:ascii="Times New Roman" w:hAnsi="Times New Roman"/>
          <w:b/>
          <w:i w:val="false"/>
          <w:color w:val="000000"/>
          <w:sz w:val="22"/>
        </w:rPr>
        <w:t xml:space="preserve">(17A,524)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order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187—12.9</w:t>
      </w:r>
      <w:r>
        <w:rPr>
          <w:rFonts w:ascii="Times New Roman" w:hAnsi="Times New Roman"/>
          <w:b/>
          <w:i w:val="false"/>
          <w:color w:val="000000"/>
          <w:sz w:val="22"/>
        </w:rPr>
        <w:t xml:space="preserve">(17A,524)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superintendent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187—12.10</w:t>
      </w:r>
      <w:r>
        <w:rPr>
          <w:rFonts w:ascii="Times New Roman" w:hAnsi="Times New Roman"/>
          <w:b/>
          <w:i w:val="false"/>
          <w:color w:val="000000"/>
          <w:sz w:val="22"/>
        </w:rPr>
        <w:t xml:space="preserve">(17A,524)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order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187—12.11</w:t>
      </w:r>
      <w:r>
        <w:rPr>
          <w:rFonts w:ascii="Times New Roman" w:hAnsi="Times New Roman"/>
          <w:b/>
          <w:i w:val="false"/>
          <w:color w:val="000000"/>
          <w:sz w:val="22"/>
        </w:rPr>
        <w:t xml:space="preserve">(17A,524)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superintendent shall make a submission on the Internet site established pursuant to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superintendent’s actions on waiver requests.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SUPERINTENDENT OF BANKING</w:t>
            </w:r>
          </w:p>
        </w:tc>
      </w:tr>
      <w:tr>
        <w:trPr>
          <w:trHeight w:val="97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A request for waiver from a rule adopted by the superintendent shall 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specific waiver requested; include the exact scope and operative time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important facts that the petitioner believes justify a waiver. Include in your answer (1) why applying the rule will result in undue hardship on the petitioner; and (2) how granting the waiver will not prejudice the substantial legal rights of any person; and (3) that the provisions of the rule subject to the petition for waiver are not specifically mandated by statute or another provision of law;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a history of prior contacts between the superintendent and petitioner relating to the regulated activity, license, grant, loan or other financial assistance that would be affected by the waiver; include a description of each affected license, grant, loan or other financial assistance held by the petitioner, any notices of violation, contested case hearings, or investigative or examination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known to the petitioner regarding the treatment by the superintendent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signed releases of information authorizing persons with knowledge regarding the request to furnish the superintendent with information relevant to the waiver.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375"/>
        <w:gridCol w:w="441"/>
        <w:gridCol w:w="5374"/>
      </w:tblGrid>
      <w:tr>
        <w:trPr>
          <w:trHeight w:val="270" w:hRule="atLeast"/>
        </w:trPr>
        <w:tc>
          <w:tcPr>
            <w:tcW w:w="53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5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superintendent, by clear and convincing evidence, the following: (a) application of the rule to the petitioner would result in an undue hardship on the petitioner; and (b) waiver in the specific case would not prejudice the substantial legal rights of any person; and (c) the provisions of the rule subject to the petition for waiver are not specifically mandated by statute or another provision of law; and (d)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superintendent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petitions for waiver must be submitted in writing to the Banking Division, 200 East Grand Avenue, Suite 300, Des Moines, Iowa 50309. If the petition relates to a pending contested case, a copy of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4060C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5394C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9/26/01, Notice 8/22/01—published 10/17/01, effective 11/21/01]</w:t>
      </w:r>
    </w:p>
    <w:p>
      <w:pPr>
        <w:spacing w:before="0" w:after="0"/>
        <w:ind w:left="120"/>
        <w:jc w:val="center"/>
      </w:pPr>
      <w:r>
        <w:rPr>
          <w:rFonts w:ascii="Times New Roman" w:hAnsi="Times New Roman"/>
          <w:b w:val="false"/>
          <w:i w:val="false"/>
          <w:color w:val="000000"/>
          <w:sz w:val="21"/>
        </w:rPr>
        <w:t>[Filed ARC 4060C</w:t>
      </w:r>
      <w:r>
        <w:rPr>
          <w:rFonts w:ascii="Times New Roman" w:hAnsi="Times New Roman"/>
          <w:b w:val="false"/>
          <w:i w:val="false"/>
          <w:color w:val="000000"/>
          <w:sz w:val="21"/>
        </w:rPr>
        <w:t xml:space="preserve"> (Notice ARC 3950C,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5394C</w:t>
      </w:r>
      <w:r>
        <w:rPr>
          <w:rFonts w:ascii="Times New Roman" w:hAnsi="Times New Roman"/>
          <w:b w:val="false"/>
          <w:i w:val="false"/>
          <w:color w:val="000000"/>
          <w:sz w:val="21"/>
        </w:rPr>
        <w:t xml:space="preserve"> (Notice ARC 5211C, IAB 10/7/20)</w:t>
      </w:r>
      <w:r>
        <w:rPr>
          <w:rFonts w:ascii="Times New Roman" w:hAnsi="Times New Roman"/>
          <w:b w:val="false"/>
          <w:i w:val="false"/>
          <w:color w:val="000000"/>
          <w:sz w:val="21"/>
        </w:rPr>
        <w:t>, IAB 1/13/21, effective 2/17/21]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pdf" Type="http://schemas.openxmlformats.org/officeDocument/2006/relationships/hyperlink" Id="rId5"/>
    <Relationship TargetMode="External" Target="https://www.legis.iowa.gov/docs/iac/rule/187.12.2.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52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