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187—11.1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of the Iowa Rules of Civil Procedure. </w:t>
      </w:r>
      <w:r>
        <w:rPr>
          <w:rFonts w:ascii="Times New Roman" w:hAnsi="Times New Roman"/>
          <w:b w:val="false"/>
          <w:i w:val="false"/>
          <w:color w:val="000000"/>
          <w:sz w:val="22"/>
        </w:rPr>
        <w:t xml:space="preserve">Except when inconsistent with Iowa Code chapter </w:t>
      </w:r>
      <w:hyperlink r:id="rId5">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this chapter applies to contested case proceedings conducted by the division of banking. Except as expressly provided in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rules, the Iowa Rules of Civil Procedure do not apply to contested case proceedings. However, upon application by a party, the division may permit the use of procedures provided for in the Iowa Rules of Civil Procedure unless doing so would unreasonably complicate the proceedings or impose an undue hardship on a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7">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8">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superintendent of banking, the superintendent’s designee or, under certain circumstances,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superintendent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210" w:after="0"/>
        <w:ind w:left="120"/>
        <w:jc w:val="both"/>
      </w:pPr>
      <w:r>
        <w:rPr>
          <w:rFonts w:ascii="Times New Roman" w:hAnsi="Times New Roman"/>
          <w:b/>
          <w:i w:val="false"/>
          <w:color w:val="000000"/>
          <w:sz w:val="22"/>
        </w:rPr>
        <w:t>187—11.4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division action in question. The request for a contested case proceeding should state the name and address of the requester, identify the specific division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187—11.5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division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division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presiding officer, if known. If not known, a description of who will serve as presiding officer (e.g., superintendent, superintendent’s designee, administrative law judge from the department of inspections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10">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rule 187—11.6(17A)</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requiring the respondent to submit an answer of the type specified in </w:t>
      </w:r>
      <w:hyperlink r:id="rId12">
        <w:r>
          <w:rPr>
            <w:rStyle w:val="Hyperlink"/>
            <w:rFonts w:ascii="Times New Roman" w:hAnsi="Times New Roman"/>
            <w:b w:val="false"/>
            <w:i w:val="false"/>
            <w:color w:val="000000"/>
            <w:sz w:val="22"/>
          </w:rPr>
          <w:t>subrule 11.11(2)</w:t>
        </w:r>
      </w:hyperlink>
      <w:r>
        <w:rPr>
          <w:rFonts w:ascii="Times New Roman" w:hAnsi="Times New Roman"/>
          <w:b w:val="false"/>
          <w:i w:val="false"/>
          <w:color w:val="000000"/>
          <w:sz w:val="22"/>
        </w:rPr>
        <w:t xml:space="preserve"> within 20 days after service of the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on whom to contact if, because of a disability, auxiliary aids or services are needed to enable a person to participate in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date, time, and manner of conduct of a prehearing conference under rule </w:t>
      </w:r>
      <w:hyperlink r:id="rId13">
        <w:r>
          <w:rPr>
            <w:rStyle w:val="Hyperlink"/>
            <w:rFonts w:ascii="Times New Roman" w:hAnsi="Times New Roman"/>
            <w:b w:val="false"/>
            <w:i w:val="false"/>
            <w:color w:val="000000"/>
            <w:sz w:val="22"/>
          </w:rPr>
          <w:t>187—11.16(17A)</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mailing address and email address for filing with the division and notice of the option of email service as provided in </w:t>
      </w:r>
      <w:hyperlink r:id="rId14">
        <w:r>
          <w:rPr>
            <w:rStyle w:val="Hyperlink"/>
            <w:rFonts w:ascii="Times New Roman" w:hAnsi="Times New Roman"/>
            <w:b w:val="false"/>
            <w:i w:val="false"/>
            <w:color w:val="000000"/>
            <w:sz w:val="22"/>
          </w:rPr>
          <w:t>subrule 11.12(6)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division head or members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division nor any officer of the division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w:t>
      </w:r>
      <w:hyperlink r:id="rId15">
        <w:r>
          <w:rPr>
            <w:rStyle w:val="Hyperlink"/>
            <w:rFonts w:ascii="Times New Roman" w:hAnsi="Times New Roman"/>
            <w:b w:val="false"/>
            <w:i w:val="false"/>
            <w:color w:val="000000"/>
            <w:sz w:val="22"/>
          </w:rPr>
          <w:t>subrule 11.6(4)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interdivision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issue a written ruling specifying the grounds for the decision within 20 days after a request for an administrative law judge is filed. If the ruling is contingent upon the availability of an administrative law judge with the qualifications identified in </w:t>
      </w:r>
      <w:hyperlink r:id="rId16">
        <w:r>
          <w:rPr>
            <w:rStyle w:val="Hyperlink"/>
            <w:rFonts w:ascii="Times New Roman" w:hAnsi="Times New Roman"/>
            <w:b w:val="false"/>
            <w:i w:val="false"/>
            <w:color w:val="000000"/>
            <w:sz w:val="22"/>
          </w:rPr>
          <w:t>subrule 11.6(4)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shall have the following technical expertness unless waived by the division: an administrative law judge shall have at least five years’ experience as an executive officer in a bank or in the regulation or examination of banks.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superintendent. A party must seek any available intradivision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superintendent, when reviewing a proposed decision upon intradivision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187—11.7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division in its discretion may refuse to give effect to such a waiver when it deems the waiver to be inconsistent with the public interest.</w:t>
      </w:r>
    </w:p>
    <w:p>
      <w:pPr>
        <w:spacing w:before="0" w:after="0"/>
        <w:ind w:left="120"/>
        <w:jc w:val="both"/>
      </w:pPr>
      <w:r>
        <w:rPr>
          <w:rFonts w:ascii="Times New Roman" w:hAnsi="Times New Roman"/>
          <w:b/>
          <w:i w:val="false"/>
          <w:color w:val="000000"/>
          <w:sz w:val="22"/>
        </w:rPr>
        <w:t>187—11.8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 xml:space="preserve">The presiding officer may resolve preliminary procedural motions by telephone conference or other electronic means in which all parties have an opportunity to participate. Other proceedings may be held by telephone or other electronic means with the consent of all parties. The presiding officer will determine the location of the parties and witnesses for hearings held by telephone or other electronic means. The convenience of the witnesses or parties, as well as the nature of the case, will be considered when location is chosen. Disciplinary hearings will generally not be held by telephone or electronic means in the absence of consent by all parties, but the presiding officer may permit any witness to testify by telephone or other electronic means. Parties shall disclose at or prior to the prehearing conference whether any witness will be testifying by telephone or other electronic means. Objections, if any, shall be filed with the division and served on all parties at least three business days in advance of hearing.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division functions, including fact gathering for purposes other than investigation of the matter which culminates in a contested case. A person voluntarily appearing before the division waives any objection to a division staff member’s participation in the appearance and later participation as a decision maker or aid to the decision maker in a contested case. Factual information relevant to the merits of a contested case received by a person who later serves as presiding officer in that case shall be disclosed if required by Iowa Code section </w:t>
      </w:r>
      <w:hyperlink r:id="rId17">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subrules 11.9(3)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11.23(9)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20">
        <w:r>
          <w:rPr>
            <w:rStyle w:val="Hyperlink"/>
            <w:rFonts w:ascii="Times New Roman" w:hAnsi="Times New Roman"/>
            <w:b w:val="false"/>
            <w:i w:val="false"/>
            <w:color w:val="000000"/>
            <w:sz w:val="22"/>
          </w:rPr>
          <w:t>subrule 11.9(1)</w:t>
        </w:r>
      </w:hyperlink>
      <w:r>
        <w:rPr>
          <w:rFonts w:ascii="Times New Roman" w:hAnsi="Times New Roman"/>
          <w:b w:val="false"/>
          <w:i w:val="false"/>
          <w:color w:val="000000"/>
          <w:sz w:val="22"/>
        </w:rPr>
        <w:t xml:space="preserve">, the party shall file a motion supported by an affidavit pursuant to Iowa Code sections </w:t>
      </w:r>
      <w:hyperlink r:id="rId21">
        <w:r>
          <w:rPr>
            <w:rStyle w:val="Hyperlink"/>
            <w:rFonts w:ascii="Times New Roman" w:hAnsi="Times New Roman"/>
            <w:b w:val="false"/>
            <w:i w:val="false"/>
            <w:color w:val="000000"/>
            <w:sz w:val="22"/>
          </w:rPr>
          <w:t>17A.11(3)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w:t>
      </w:r>
      <w:r>
        <w:rPr>
          <w:rFonts w:ascii="Times New Roman" w:hAnsi="Times New Roman"/>
          <w:b w:val="false"/>
          <w:i w:val="false"/>
          <w:color w:val="000000"/>
          <w:sz w:val="22"/>
        </w:rPr>
        <w:t> </w:t>
      </w:r>
      <w:r>
        <w:rPr>
          <w:rFonts w:ascii="Times New Roman" w:hAnsi="Times New Roman"/>
          <w:b w:val="false"/>
          <w:i w:val="false"/>
          <w:color w:val="000000"/>
          <w:sz w:val="22"/>
        </w:rPr>
        <w:t xml:space="preserve">A motion to disqualify a division staff member or other person shall first be directed to the affected division staff member or other person for determination. If the division staff member or other person determines that disqualification is appropriate, the division staff member or other person shall withdraw from further participation in the case. If the division staff member or other person determines that withdrawal is not required, the presiding officer shall promptly review that determination, provided that, if the person at issue is an administrative law judge, the review shall be by the division. 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23">
        <w:r>
          <w:rPr>
            <w:rStyle w:val="Hyperlink"/>
            <w:rFonts w:ascii="Times New Roman" w:hAnsi="Times New Roman"/>
            <w:b w:val="false"/>
            <w:i w:val="false"/>
            <w:color w:val="000000"/>
            <w:sz w:val="22"/>
          </w:rPr>
          <w:t>rule 187—11.25(17A)</w:t>
        </w:r>
      </w:hyperlink>
      <w:r>
        <w:rPr>
          <w:rFonts w:ascii="Times New Roman" w:hAnsi="Times New Roman"/>
          <w:b w:val="false"/>
          <w:i w:val="false"/>
          <w:color w:val="000000"/>
          <w:sz w:val="22"/>
        </w:rPr>
        <w:t xml:space="preserve">, if applicable, and seek a stay under </w:t>
      </w:r>
      <w:hyperlink r:id="rId24">
        <w:r>
          <w:rPr>
            <w:rStyle w:val="Hyperlink"/>
            <w:rFonts w:ascii="Times New Roman" w:hAnsi="Times New Roman"/>
            <w:b w:val="false"/>
            <w:i w:val="false"/>
            <w:color w:val="000000"/>
            <w:sz w:val="22"/>
          </w:rPr>
          <w:t>rule 187—11.29(17A)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187—11.11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A petition in a contested case proceeding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a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xml:space="preserve"> Unless otherwise provided in the notice of hearing, 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xml:space="preserve"> Unless otherwise provided in the notice of hearing, 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division, simultaneously with their filing. Except for the original notice of hearing and an application for rehearing as provided in Iowa Code section </w:t>
      </w:r>
      <w:hyperlink r:id="rId2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Division of Banking, Attn: Superintendent, 200 East Grand Avenue, Suite 300, Des Moines, Iowa 50309-1827. All pleadings, motions, documents or other papers that are required to be served upon a party shall be filed simultaneously with the division of banking.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Filing—how and when made. </w:t>
      </w:r>
      <w:r>
        <w:rPr>
          <w:rFonts w:ascii="Times New Roman" w:hAnsi="Times New Roman"/>
          <w:b w:val="false"/>
          <w:i w:val="false"/>
          <w:color w:val="000000"/>
          <w:sz w:val="22"/>
        </w:rPr>
        <w:t>Except where otherwise provided by law, a document is deemed filed at the time it is delivered to the division of banking, delivered to an established courier service for immediate delivery to that office, mailed by first-class mail or state interoffice mail to that office so long as there is proof of mailing, or delivered by electronic transmission to the email address specified in the notice of hearing. Filing by electronic transmission is complete upon transmission unless the party making the filing learns the attempted filing did not reach the division. The division will not provide a mailed file-stamped copy of documents that are filed by email or other approved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Division of Banking, Attn: Superintendent, 200 East Grand Avenue, Suite 300, Des Moines, Iowa 50309-1827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The presiding officer may by order or a party or a party’s attorney may by consent permit service of particular documents by email or similar electronic means, unless precluded by a provision of law. In the absence of such an order or consent, electronic transmission shall not satisfy service requirements but may be used to supplement service when rapid notice is desirable. Consent to electronic service by a party or a party’s counsel shall be in writing, may be accomplished through electronic transmission to the board and other parties, and shall specify the email address for such service. Service by electronic transmission is complete upon transmission unless the board or party making service learns the attempted service did not reach the party to be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scope of discovery described in Iowa Rule of Civil Procedure 1.503 shall apply to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following discovery procedures available in the Iowa Rules of Civil Procedure are available to the parties in a contested case proceeding: depositions upon oral examination or written questions; written interrogatories; production of documents, electronically stored information, and things; and requests for admission. The time frames for discovery in the specific Iowa Rules of Civil Procedure govern those specific procedures, unless they are lengthened or shortened by the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1.701 through 1.717 regarding depositions shall apply to any depositions taken in a contested case proceeding. Any party taking a deposition in a contested case shall be responsible for any deposition costs, unless otherwise specified or allocated in an order. Deposition costs include, but are not limited to, reimbursement for mileage of the deponent, costs of a certified shorthand reporter, and expert witness fees,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1.509 shall apply to any interrogatories propounded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1.512 shall apply to any requests for production of documents, electronically stored information, and things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1.510 shall apply to any requests for admission in a contested case proceeding. Iowa Rule of Civil Procedure 1.511 regarding the effect of an admission shall apply in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mandatory disclosure and discovery conference requirements in Iowa Rules of Civil Procedure 1.500 and 1.507 do not apply to contested case proceedings. However, upon application by a party, the presiding officer may order the parties to comply with these procedures unless doing so would unreasonably complicate the proceedings or impose an undue hardship. As a practical matter, the purpose of the disclosure requirements and discovery conference is served by the division’s obligation to supply the information that is described in Iowa Code section </w:t>
      </w:r>
      <w:hyperlink r:id="rId26">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upon request while a contested case is pending and by the mutual exchange of information that is required in a prehearing conference under rule </w:t>
      </w:r>
      <w:hyperlink r:id="rId27">
        <w:r>
          <w:rPr>
            <w:rStyle w:val="Hyperlink"/>
            <w:rFonts w:ascii="Times New Roman" w:hAnsi="Times New Roman"/>
            <w:b w:val="false"/>
            <w:i w:val="false"/>
            <w:color w:val="000000"/>
            <w:sz w:val="22"/>
          </w:rPr>
          <w:t>187—11.16(17A)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1.508 shall apply to discovery of any experts identified by a party to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11.13(5)</w:t>
      </w:r>
      <w:r>
        <w:rPr>
          <w:rFonts w:ascii="Times New Roman" w:hAnsi="Times New Roman"/>
          <w:b w:val="false"/>
          <w:i w:val="false"/>
          <w:color w:val="000000"/>
          <w:sz w:val="22"/>
        </w:rPr>
        <w:t> </w:t>
      </w:r>
      <w:r>
        <w:rPr>
          <w:rFonts w:ascii="Times New Roman" w:hAnsi="Times New Roman"/>
          <w:b w:val="false"/>
          <w:i w:val="false"/>
          <w:color w:val="000000"/>
          <w:sz w:val="22"/>
        </w:rPr>
        <w:t>Discovery shall be served on all parties to the contested case proceeding but shall not be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11.13(6)</w:t>
      </w:r>
      <w:r>
        <w:rPr>
          <w:rFonts w:ascii="Times New Roman" w:hAnsi="Times New Roman"/>
          <w:b w:val="false"/>
          <w:i w:val="false"/>
          <w:color w:val="000000"/>
          <w:sz w:val="22"/>
        </w:rPr>
        <w:t> </w:t>
      </w:r>
      <w:r>
        <w:rPr>
          <w:rFonts w:ascii="Times New Roman" w:hAnsi="Times New Roman"/>
          <w:b w:val="false"/>
          <w:i w:val="false"/>
          <w:color w:val="000000"/>
          <w:sz w:val="22"/>
        </w:rPr>
        <w:t>A party may file a motion to compel or other motion related to discovery in accordance with this subrule. Any motion filed with the division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11.13(7)</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division subpoena shall be issued to a party on request. Such a request must be in writing. In the absence of good cause for permitting later action, a request for a subpoena must be received at least three days before the scheduled hearing. The request shall include the name, address, email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division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division or an order of the presiding officer.</w:t>
      </w:r>
    </w:p>
    <w:p>
      <w:pPr>
        <w:spacing w:before="0" w:after="0"/>
        <w:ind w:left="120"/>
        <w:jc w:val="both"/>
      </w:pPr>
      <w:r>
        <w:rPr>
          <w:rFonts w:ascii="Times New Roman" w:hAnsi="Times New Roman"/>
          <w:b/>
          <w:i w:val="false"/>
          <w:color w:val="000000"/>
          <w:sz w:val="22"/>
        </w:rPr>
        <w:t>187—11.16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and 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val="false"/>
          <w:color w:val="000000"/>
          <w:sz w:val="22"/>
        </w:rPr>
        <w:t>Each party shall disclose at or prior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28">
        <w:r>
          <w:rPr>
            <w:rStyle w:val="Hyperlink"/>
            <w:rFonts w:ascii="Times New Roman" w:hAnsi="Times New Roman"/>
            <w:b w:val="false"/>
            <w:i w:val="false"/>
            <w:color w:val="000000"/>
            <w:sz w:val="22"/>
          </w:rPr>
          <w:t>subrule 11.16(2)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11.16(4)</w:t>
      </w:r>
      <w:r>
        <w:rPr>
          <w:rFonts w:ascii="Times New Roman" w:hAnsi="Times New Roman"/>
          <w:b w:val="false"/>
          <w:i w:val="false"/>
          <w:color w:val="000000"/>
          <w:sz w:val="22"/>
        </w:rPr>
        <w:t> </w:t>
      </w:r>
      <w:r>
        <w:rPr>
          <w:rFonts w:ascii="Times New Roman" w:hAnsi="Times New Roman"/>
          <w:b w:val="false"/>
          <w:i w:val="false"/>
          <w:color w:val="000000"/>
          <w:sz w:val="22"/>
        </w:rPr>
        <w:t xml:space="preserve">Prehearing conferences shall be conducted by telephone unless otherwise ordered. Parties shall exchange and receive witness and exhibit lists in advance of a telephone prehearing conference. Unless otherwise provided in the order setting a prehearing conference, the prehearing conference shall be conducted by an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shall exchange copies of all exhibits marked for introduction at hearing in the manner provided in </w:t>
      </w:r>
      <w:hyperlink r:id="rId29">
        <w:r>
          <w:rPr>
            <w:rStyle w:val="Hyperlink"/>
            <w:rFonts w:ascii="Times New Roman" w:hAnsi="Times New Roman"/>
            <w:b w:val="false"/>
            <w:i w:val="false"/>
            <w:color w:val="000000"/>
            <w:sz w:val="22"/>
          </w:rPr>
          <w:t>subrule 11.21(4)</w:t>
        </w:r>
      </w:hyperlink>
      <w:r>
        <w:rPr>
          <w:rFonts w:ascii="Times New Roman" w:hAnsi="Times New Roman"/>
          <w:b w:val="false"/>
          <w:i w:val="false"/>
          <w:color w:val="000000"/>
          <w:sz w:val="22"/>
        </w:rPr>
        <w:t xml:space="preserve"> no later than three business days in advance of hearing, or as ordered by the presiding officer at the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division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187—11.18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division rules. Unless otherwise provided, a withdrawal shall be with prejudice.</w:t>
      </w:r>
    </w:p>
    <w:p>
      <w:pPr>
        <w:spacing w:before="0" w:after="0"/>
        <w:ind w:left="120"/>
        <w:jc w:val="both"/>
      </w:pPr>
      <w:r>
        <w:rPr>
          <w:rFonts w:ascii="Times New Roman" w:hAnsi="Times New Roman"/>
          <w:b/>
          <w:i w:val="false"/>
          <w:color w:val="000000"/>
          <w:sz w:val="22"/>
        </w:rPr>
        <w:t>187—11.19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187—11.20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shareholder, or duly authorized agent. Any party may be represented by an attorney, or another person authorized by law, at the party’s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11.20(8)</w:t>
      </w:r>
      <w:r>
        <w:rPr>
          <w:rFonts w:ascii="Times New Roman" w:hAnsi="Times New Roman"/>
          <w:b w:val="false"/>
          <w:i w:val="false"/>
          <w:color w:val="000000"/>
          <w:sz w:val="22"/>
        </w:rPr>
        <w:t> </w:t>
      </w:r>
      <w:r>
        <w:rPr>
          <w:rFonts w:ascii="Times New Roman" w:hAnsi="Times New Roman"/>
          <w:b w:val="false"/>
          <w:i w:val="false"/>
          <w:color w:val="000000"/>
          <w:sz w:val="22"/>
        </w:rPr>
        <w:t>Depositions may be used at hearing to the extent permitted by Iowa Rule of Civil Procedure 1.704.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11.20(9)</w:t>
      </w:r>
      <w:r>
        <w:rPr>
          <w:rFonts w:ascii="Times New Roman" w:hAnsi="Times New Roman"/>
          <w:b w:val="false"/>
          <w:i w:val="false"/>
          <w:color w:val="000000"/>
          <w:sz w:val="22"/>
        </w:rPr>
        <w:t> </w:t>
      </w:r>
      <w:r>
        <w:rPr>
          <w:rFonts w:ascii="Times New Roman" w:hAnsi="Times New Roman"/>
          <w:b w:val="false"/>
          <w:i w:val="false"/>
          <w:color w:val="000000"/>
          <w:sz w:val="22"/>
        </w:rPr>
        <w:t>Witnesses are entitled to be represented by an attorney at their own expense. The attorney may assert legal privileges personal to the client but may not make other objections. The attorney may only ask questions of the client to prevent a misstatement from entering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in a contested case shall be responsible for any witness fees and expenses incurred by witnesses appearing at the contested case hearing, unless otherwise specified or allocated in an order. The costs for lay witnesses shall be determined in accordance with Iowa Code section </w:t>
      </w:r>
      <w:hyperlink r:id="rId30">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costs for expert witnesses shall be determined in accordance with Iowa Code section </w:t>
      </w:r>
      <w:hyperlink r:id="rId31">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Witnesses are entitled to reimbursement for mileage and may be entitled to reimbursement for meals and lodging, as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 The state’s exhibits shall be marked numerically, and the applicant’s or respondent’s exhibits shall be marked alphabetically.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division action unless, within 15 days after the date of notification or mailing of the decision, a motion to vacate is filed and served on all parties or an appeal of a decision on the merits is timely initiated within the time provided by </w:t>
      </w:r>
      <w:hyperlink r:id="rId32">
        <w:r>
          <w:rPr>
            <w:rStyle w:val="Hyperlink"/>
            <w:rFonts w:ascii="Times New Roman" w:hAnsi="Times New Roman"/>
            <w:b w:val="false"/>
            <w:i w:val="false"/>
            <w:color w:val="000000"/>
            <w:sz w:val="22"/>
          </w:rPr>
          <w:t>rule 11.27(17A)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33">
        <w:r>
          <w:rPr>
            <w:rStyle w:val="Hyperlink"/>
            <w:rFonts w:ascii="Times New Roman" w:hAnsi="Times New Roman"/>
            <w:b w:val="false"/>
            <w:i w:val="false"/>
            <w:color w:val="000000"/>
            <w:sz w:val="22"/>
          </w:rPr>
          <w:t>rule 11.25(17A)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w:t>
      </w:r>
      <w:hyperlink r:id="rId34">
        <w:r>
          <w:rPr>
            <w:rStyle w:val="Hyperlink"/>
            <w:rFonts w:ascii="Times New Roman" w:hAnsi="Times New Roman"/>
            <w:b w:val="false"/>
            <w:i w:val="false"/>
            <w:color w:val="000000"/>
            <w:sz w:val="22"/>
          </w:rPr>
          <w:t>rule 11.29(17A)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division or seeking the advice or help of persons other than those with a personal interest in, or those engaged in personally investigating as defined in </w:t>
      </w:r>
      <w:hyperlink r:id="rId35">
        <w:r>
          <w:rPr>
            <w:rStyle w:val="Hyperlink"/>
            <w:rFonts w:ascii="Times New Roman" w:hAnsi="Times New Roman"/>
            <w:b w:val="false"/>
            <w:i w:val="false"/>
            <w:color w:val="000000"/>
            <w:sz w:val="22"/>
          </w:rPr>
          <w:t>subrule 11.9(2)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w:t>
      </w:r>
      <w:hyperlink r:id="rId36">
        <w:r>
          <w:rPr>
            <w:rStyle w:val="Hyperlink"/>
            <w:rFonts w:ascii="Times New Roman" w:hAnsi="Times New Roman"/>
            <w:b w:val="false"/>
            <w:i w:val="false"/>
            <w:color w:val="000000"/>
            <w:sz w:val="22"/>
          </w:rPr>
          <w:t>rule 11.12(17A)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37">
        <w:r>
          <w:rPr>
            <w:rStyle w:val="Hyperlink"/>
            <w:rFonts w:ascii="Times New Roman" w:hAnsi="Times New Roman"/>
            <w:b w:val="false"/>
            <w:i w:val="false"/>
            <w:color w:val="000000"/>
            <w:sz w:val="22"/>
          </w:rPr>
          <w:t>subrule 11.23(1)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w:t>
      </w:r>
      <w:hyperlink r:id="rId38">
        <w:r>
          <w:rPr>
            <w:rStyle w:val="Hyperlink"/>
            <w:rFonts w:ascii="Times New Roman" w:hAnsi="Times New Roman"/>
            <w:b w:val="false"/>
            <w:i w:val="false"/>
            <w:color w:val="000000"/>
            <w:sz w:val="22"/>
          </w:rPr>
          <w:t>rule 11.17(17A)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division. Violation of ex parte communication prohibitions by division personnel shall be reported to the superintendent for possible sanctions including censure, suspension, dismissal, or other disciplinary action.</w:t>
      </w:r>
    </w:p>
    <w:p>
      <w:pPr>
        <w:spacing w:before="0" w:after="0"/>
        <w:ind w:left="120"/>
        <w:jc w:val="both"/>
      </w:pPr>
      <w:r>
        <w:rPr>
          <w:rFonts w:ascii="Times New Roman" w:hAnsi="Times New Roman"/>
          <w:b/>
          <w:i w:val="false"/>
          <w:color w:val="000000"/>
          <w:sz w:val="22"/>
        </w:rPr>
        <w:t>187—11.24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division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187—11.25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superintendent may review an interlocutory order of the presiding officer. In determining whether to do so, the superintendent shall weigh the extent to which its granting the interlocutory appeal would expedite final resolution of the case and the extent to which review of that interlocutory order by the division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187—11.26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val="false"/>
          <w:color w:val="000000"/>
          <w:sz w:val="22"/>
        </w:rPr>
        <w:t>When the superintendent presides over the reception of evidence at the hearing, the superintendent’s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superintendent does not preside at the reception of evidence, the presiding officer shall make a proposed decision. The proposed decision becomes the final decision of the division without further proceedings unless there is an appeal to, or review on motion of, the superintendent within the time provided in </w:t>
      </w:r>
      <w:hyperlink r:id="rId40">
        <w:r>
          <w:rPr>
            <w:rStyle w:val="Hyperlink"/>
            <w:rFonts w:ascii="Times New Roman" w:hAnsi="Times New Roman"/>
            <w:b w:val="false"/>
            <w:i w:val="false"/>
            <w:color w:val="000000"/>
            <w:sz w:val="22"/>
          </w:rPr>
          <w:t>rule 11.27(17A)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187—11.27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superintendent within 30 days after issuance of the proposed decision. Such an appeal is required to exhaust administrative remedies and is a jurisdictional prerequisite to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superintendent may initiate review of a proposed decision on the superintendent’s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division of banking.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superintendent may remand a case to the presiding officer for further hearing or may personally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division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superintendent may resolve the appeal on the briefs or provide an opportunity for oral argument. The superintendent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187—11.28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division decision on the existing record and whether, on the basis of the grounds enumerated in </w:t>
      </w:r>
      <w:hyperlink r:id="rId41">
        <w:r>
          <w:rPr>
            <w:rStyle w:val="Hyperlink"/>
            <w:rFonts w:ascii="Times New Roman" w:hAnsi="Times New Roman"/>
            <w:b w:val="false"/>
            <w:i w:val="false"/>
            <w:color w:val="000000"/>
            <w:sz w:val="22"/>
          </w:rPr>
          <w:t>subrule 11.27(4)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division of banking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division of banking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division grants the application within 20 days after its filing.</w:t>
      </w:r>
    </w:p>
    <w:p>
      <w:pPr>
        <w:spacing w:before="0" w:after="0"/>
        <w:ind w:left="120"/>
        <w:jc w:val="both"/>
      </w:pPr>
      <w:r>
        <w:rPr>
          <w:rFonts w:ascii="Times New Roman" w:hAnsi="Times New Roman"/>
          <w:b/>
          <w:i w:val="false"/>
          <w:color w:val="000000"/>
          <w:sz w:val="22"/>
        </w:rPr>
        <w:t>187—11.29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division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division of banking for a stay of an order issued in that proceeding or for other temporary remedies, pending review by the division. The petition shall be filed with the notice of appeal and shall state the reasons justifying a stay or other temporary remedy. The superintendent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division of banking for a stay or other temporary remedies pending judicial review of all or part of that proceeding. The petition shall state the reasons justifying a stay or other temporary remedy. Seeking a stay from the division is required to exhaust administrative remedies prior to seeking a stay from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superintendent shall consider the factors listed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division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187—11.30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187—11.31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superintendent may issue a written order in compliance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21, to suspend a license in whole or in part, order the cessation of any continuing activity, order affirmative action, or take other action within the jurisdiction of the superintendent by emergency adjudicative order. Before issuing an emergency adjudicative order the superintendent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division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division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superintendent’s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Electronic service. Fax or email may be used as the sole method of delivery if the person required to comply with the order has filed a written request that division orders be sent by fax or email and has provided a fax number or email address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division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division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division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division proceedings are scheduled for completion. After issuance of an emergency adjudicative order, continuance of further division proceedings to a later date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ARC 4059C</w:t>
      </w:r>
      <w:r>
        <w:rPr>
          <w:rFonts w:ascii="Times New Roman" w:hAnsi="Times New Roman"/>
          <w:b w:val="false"/>
          <w:i w:val="false"/>
          <w:color w:val="000000"/>
          <w:sz w:val="21"/>
        </w:rPr>
        <w:t xml:space="preserve"> (Notice ARC 3951C, IAB 8/15/18)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10A.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7A.11.pdf" Type="http://schemas.openxmlformats.org/officeDocument/2006/relationships/hyperlink" Id="rId10"/>
    <Relationship TargetMode="External" Target="https://www.legis.iowa.gov/docs/iac/rule/187.11.6.pdf" Type="http://schemas.openxmlformats.org/officeDocument/2006/relationships/hyperlink" Id="rId11"/>
    <Relationship TargetMode="External" Target="https://www.legis.iowa.gov/docs/iac/rule/187.11.11.pdf" Type="http://schemas.openxmlformats.org/officeDocument/2006/relationships/hyperlink" Id="rId12"/>
    <Relationship TargetMode="External" Target="https://www.legis.iowa.gov/docs/iac/rule/187.11.16.pdf" Type="http://schemas.openxmlformats.org/officeDocument/2006/relationships/hyperlink" Id="rId13"/>
    <Relationship TargetMode="External" Target="https://www.legis.iowa.gov/docs/iac/rule/187.11.12.pdf" Type="http://schemas.openxmlformats.org/officeDocument/2006/relationships/hyperlink" Id="rId14"/>
    <Relationship TargetMode="External" Target="https://www.legis.iowa.gov/docs/iac/rule/187.11.6.pdf" Type="http://schemas.openxmlformats.org/officeDocument/2006/relationships/hyperlink" Id="rId15"/>
    <Relationship TargetMode="External" Target="https://www.legis.iowa.gov/docs/iac/rule/187.11.6.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ac/rule/187.11.9.pdf" Type="http://schemas.openxmlformats.org/officeDocument/2006/relationships/hyperlink" Id="rId18"/>
    <Relationship TargetMode="External" Target="https://www.legis.iowa.gov/docs/iac/rule/187.11.23.pdf" Type="http://schemas.openxmlformats.org/officeDocument/2006/relationships/hyperlink" Id="rId19"/>
    <Relationship TargetMode="External" Target="https://www.legis.iowa.gov/docs/iac/rule/187.11.9.pdf" Type="http://schemas.openxmlformats.org/officeDocument/2006/relationships/hyperlink" Id="rId20"/>
    <Relationship TargetMode="External" Target="https://www.legis.iowa.gov/docs/ico/chapter/17A.11.pdf" Type="http://schemas.openxmlformats.org/officeDocument/2006/relationships/hyperlink" Id="rId21"/>
    <Relationship TargetMode="External" Target="https://www.legis.iowa.gov/docs/ico/chapter/17A.17.pdf" Type="http://schemas.openxmlformats.org/officeDocument/2006/relationships/hyperlink" Id="rId22"/>
    <Relationship TargetMode="External" Target="https://www.legis.iowa.gov/docs/iac/rule/187.11.25.pdf" Type="http://schemas.openxmlformats.org/officeDocument/2006/relationships/hyperlink" Id="rId23"/>
    <Relationship TargetMode="External" Target="https://www.legis.iowa.gov/docs/iac/rule/187.11.29.pdf" Type="http://schemas.openxmlformats.org/officeDocument/2006/relationships/hyperlink" Id="rId24"/>
    <Relationship TargetMode="External" Target="https://www.legis.iowa.gov/docs/ico/chapter/17A.16.pdf" Type="http://schemas.openxmlformats.org/officeDocument/2006/relationships/hyperlink" Id="rId25"/>
    <Relationship TargetMode="External" Target="https://www.legis.iowa.gov/docs/ico/chapter/17A.13.pdf" Type="http://schemas.openxmlformats.org/officeDocument/2006/relationships/hyperlink" Id="rId26"/>
    <Relationship TargetMode="External" Target="https://www.legis.iowa.gov/docs/iac/rule/187.11.16.pdf" Type="http://schemas.openxmlformats.org/officeDocument/2006/relationships/hyperlink" Id="rId27"/>
    <Relationship TargetMode="External" Target="https://www.legis.iowa.gov/docs/iac/rule/187.11.16.pdf" Type="http://schemas.openxmlformats.org/officeDocument/2006/relationships/hyperlink" Id="rId28"/>
    <Relationship TargetMode="External" Target="https://www.legis.iowa.gov/docs/iac/rule/187.11.21.pdf" Type="http://schemas.openxmlformats.org/officeDocument/2006/relationships/hyperlink" Id="rId29"/>
    <Relationship TargetMode="External" Target="https://www.legis.iowa.gov/docs/ico/chapter/622.69.pdf" Type="http://schemas.openxmlformats.org/officeDocument/2006/relationships/hyperlink" Id="rId30"/>
    <Relationship TargetMode="External" Target="https://www.legis.iowa.gov/docs/ico/chapter/622.72.pdf" Type="http://schemas.openxmlformats.org/officeDocument/2006/relationships/hyperlink" Id="rId31"/>
    <Relationship TargetMode="External" Target="https://www.legis.iowa.gov/docs/iac/rule/187.11.27.pdf" Type="http://schemas.openxmlformats.org/officeDocument/2006/relationships/hyperlink" Id="rId32"/>
    <Relationship TargetMode="External" Target="https://www.legis.iowa.gov/docs/iac/rule/187.11.25.pdf" Type="http://schemas.openxmlformats.org/officeDocument/2006/relationships/hyperlink" Id="rId33"/>
    <Relationship TargetMode="External" Target="https://www.legis.iowa.gov/docs/iac/rule/187.11.29.pdf" Type="http://schemas.openxmlformats.org/officeDocument/2006/relationships/hyperlink" Id="rId34"/>
    <Relationship TargetMode="External" Target="https://www.legis.iowa.gov/docs/iac/rule/187.11.9.pdf" Type="http://schemas.openxmlformats.org/officeDocument/2006/relationships/hyperlink" Id="rId35"/>
    <Relationship TargetMode="External" Target="https://www.legis.iowa.gov/docs/iac/rule/187.11.12.pdf" Type="http://schemas.openxmlformats.org/officeDocument/2006/relationships/hyperlink" Id="rId36"/>
    <Relationship TargetMode="External" Target="https://www.legis.iowa.gov/docs/iac/rule/187.11.23.pdf" Type="http://schemas.openxmlformats.org/officeDocument/2006/relationships/hyperlink" Id="rId37"/>
    <Relationship TargetMode="External" Target="https://www.legis.iowa.gov/docs/iac/rule/187.11.17.pdf" Type="http://schemas.openxmlformats.org/officeDocument/2006/relationships/hyperlink" Id="rId38"/>
    <Relationship TargetMode="External" Target="https://www.legis.iowa.gov/docs/ico/chapter/17A.13.pdf" Type="http://schemas.openxmlformats.org/officeDocument/2006/relationships/hyperlink" Id="rId39"/>
    <Relationship TargetMode="External" Target="https://www.legis.iowa.gov/docs/iac/rule/187.11.27.pdf" Type="http://schemas.openxmlformats.org/officeDocument/2006/relationships/hyperlink" Id="rId40"/>
    <Relationship TargetMode="External" Target="https://www.legis.iowa.gov/docs/iac/rule/187.11.27.pdf" Type="http://schemas.openxmlformats.org/officeDocument/2006/relationships/hyperlink" Id="rId41"/>
    <Relationship TargetMode="External" Target="https://www.legis.iowa.gov/docs/ico/chapter/17A.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