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IMMUNIZATION AND IMMUNIZATION EDUCATION: PERSONS ATTENDING ELEMENTARY OR SECONDARY SCHOOLS, LICENSED CHILD CARE CENTERS OR INSTITUTIONS OF HIGHER EDUCATION</w:t>
      </w:r>
    </w:p>
    <w:p>
      <w:pPr>
        <w:spacing w:before="0" w:after="0"/>
        <w:ind w:left="120"/>
        <w:jc w:val="center"/>
      </w:pPr>
      <w:r>
        <w:rPr>
          <w:rFonts w:ascii="Times New Roman" w:hAnsi="Times New Roman"/>
          <w:b w:val="false"/>
          <w:i w:val="false"/>
          <w:color w:val="000000"/>
          <w:sz w:val="14"/>
        </w:rPr>
        <w:t>[Prior to 7/29/87, Health Department[470]]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641—7.1</w:t>
      </w:r>
      <w:r>
        <w:rPr>
          <w:rFonts w:ascii="Times New Roman" w:hAnsi="Times New Roman"/>
          <w:b/>
          <w:i w:val="false"/>
          <w:color w:val="000000"/>
          <w:sz w:val="22"/>
        </w:rPr>
        <w:t xml:space="preserve">(139A)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“Admitting official” </w:t>
      </w:r>
      <w:r>
        <w:rPr>
          <w:rFonts w:ascii="Times New Roman" w:hAnsi="Times New Roman"/>
          <w:b w:val="false"/>
          <w:i w:val="false"/>
          <w:color w:val="000000"/>
          <w:sz w:val="22"/>
        </w:rPr>
        <w:t>means the superintendent of schools or the superintendent’s designated representative if a public school; if a nonpublic school or licensed child care center, the governing official of the school or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an advanced registered nurse practitioner as defined in </w:t>
      </w:r>
      <w:hyperlink r:id="rId5">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seeking enrollment in a licensed child care center or elementary or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medical assistant” </w:t>
      </w:r>
      <w:r>
        <w:rPr>
          <w:rFonts w:ascii="Times New Roman" w:hAnsi="Times New Roman"/>
          <w:b w:val="false"/>
          <w:i w:val="false"/>
          <w:color w:val="000000"/>
          <w:sz w:val="22"/>
        </w:rPr>
        <w:t>means a person who is certified to practice as a certified medical assistant following completion of a postsecondary medical assistant program accredited by the Commission on Accreditation of Allied Health Education Programs or the Accrediting Bureau of Health Education Schools and successful completion of the certification examination and who is directed by a supervising physician, physician assistant,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 xml:space="preserve">is as defined in Iowa Code section </w:t>
      </w:r>
      <w:hyperlink r:id="rId6">
        <w:r>
          <w:rPr>
            <w:rStyle w:val="Hyperlink"/>
            <w:rFonts w:ascii="Times New Roman" w:hAnsi="Times New Roman"/>
            <w:b w:val="false"/>
            <w:i w:val="false"/>
            <w:color w:val="000000"/>
            <w:sz w:val="22"/>
          </w:rPr>
          <w:t>299A.1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means kindergarten if provided, and grades one through eight or grades one through six when grades seven and eight are included in a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postsecondary institution” </w:t>
      </w:r>
      <w:r>
        <w:rPr>
          <w:rFonts w:ascii="Times New Roman" w:hAnsi="Times New Roman"/>
          <w:b w:val="false"/>
          <w:i w:val="false"/>
          <w:color w:val="000000"/>
          <w:sz w:val="22"/>
        </w:rPr>
        <w:t xml:space="preserve">means an institution of higher learning under the control of the state board of regents, a community college established under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or an accredited private institution as defined in Iowa Code section </w:t>
      </w:r>
      <w:hyperlink r:id="rId8">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user” </w:t>
      </w:r>
      <w:r>
        <w:rPr>
          <w:rFonts w:ascii="Times New Roman" w:hAnsi="Times New Roman"/>
          <w:b w:val="false"/>
          <w:i w:val="false"/>
          <w:color w:val="000000"/>
          <w:sz w:val="22"/>
        </w:rPr>
        <w:t>means a user of the registry who has completed an enrollment form that specifies the conditions under which the registry can be accessed and who has been issued an identification code and password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screening” </w:t>
      </w:r>
      <w:r>
        <w:rPr>
          <w:rFonts w:ascii="Times New Roman" w:hAnsi="Times New Roman"/>
          <w:b w:val="false"/>
          <w:i w:val="false"/>
          <w:color w:val="000000"/>
          <w:sz w:val="22"/>
        </w:rPr>
        <w:t>means a vision screen, dental screen, or refugee health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“Immunization registry”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“registry” </w:t>
      </w:r>
      <w:r>
        <w:rPr>
          <w:rFonts w:ascii="Times New Roman" w:hAnsi="Times New Roman"/>
          <w:b w:val="false"/>
          <w:i w:val="false"/>
          <w:color w:val="000000"/>
          <w:sz w:val="22"/>
        </w:rPr>
        <w:t>means the department of health and human services’ database of confidential, population-based, immunization and health screening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of higher education” </w:t>
      </w:r>
      <w:r>
        <w:rPr>
          <w:rFonts w:ascii="Times New Roman" w:hAnsi="Times New Roman"/>
          <w:b w:val="false"/>
          <w:i w:val="false"/>
          <w:color w:val="000000"/>
          <w:sz w:val="22"/>
        </w:rPr>
        <w:t>means a postsecondary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w:t>
      </w:r>
      <w:r>
        <w:rPr>
          <w:rFonts w:ascii="Times New Roman" w:hAnsi="Times New Roman"/>
          <w:b w:val="false"/>
          <w:i w:val="false"/>
          <w:color w:val="000000"/>
          <w:sz w:val="22"/>
        </w:rPr>
        <w:t xml:space="preserve">means a person licensed to practice as a nurse pursuant to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“On-campus residence hall or dormitory” </w:t>
      </w:r>
      <w:r>
        <w:rPr>
          <w:rFonts w:ascii="Times New Roman" w:hAnsi="Times New Roman"/>
          <w:b w:val="false"/>
          <w:i w:val="false"/>
          <w:color w:val="000000"/>
          <w:sz w:val="22"/>
        </w:rPr>
        <w:t>means campus housing for students that is owned or leased by the institution of higher education and located on a recognized campus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w:t>
      </w:r>
      <w:r>
        <w:rPr>
          <w:rFonts w:ascii="Times New Roman" w:hAnsi="Times New Roman"/>
          <w:b w:val="false"/>
          <w:i w:val="false"/>
          <w:color w:val="000000"/>
          <w:sz w:val="22"/>
        </w:rPr>
        <w:t xml:space="preserve">means a person licensed to practice pharmacy pursuant to Iowa Code chapter </w:t>
      </w:r>
      <w:hyperlink r:id="rId1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 person licensed to practice as a physician assistant pursuant to Iowa Code chapter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“Postsecondary student” </w:t>
      </w:r>
      <w:r>
        <w:rPr>
          <w:rFonts w:ascii="Times New Roman" w:hAnsi="Times New Roman"/>
          <w:b w:val="false"/>
          <w:i w:val="false"/>
          <w:color w:val="000000"/>
          <w:sz w:val="22"/>
        </w:rPr>
        <w:t>means a person who has officially registered with a postsecondary school, as determined by the school, and who physically attends class on the school’s campus. For purposes of these rules, “postsecondary student” does not include a person who is exclusively registered in a correspondence course or continuing education class or who attends class exclusively by means of distance learning or through other means that do not require the person’s physical presence on the school’s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provider” </w:t>
      </w:r>
      <w:r>
        <w:rPr>
          <w:rFonts w:ascii="Times New Roman" w:hAnsi="Times New Roman"/>
          <w:b w:val="false"/>
          <w:i w:val="false"/>
          <w:color w:val="000000"/>
          <w:sz w:val="22"/>
        </w:rPr>
        <w:t>means an ophthalmologist, optometrist, physician, free clinic, child care center, local public health department, public or accredited nonpublic school, community-based organization, advanced registered nurse practitioner (ARNP), physician assistant, dentist or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school”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junior high school comprising grades 7, 8 and 9, and a senior high school;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combined junior-senior high school comprising grades 7 through 12;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junior high school comprising grades 7 and 8 and a high school comprising grades 9 through 12;</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high school comprising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means an original signature or the authorized use of a stamped signature or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an individual who is enrolled in a licensed child care center, elementary school or secondary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641—7.2</w:t>
      </w:r>
      <w:r>
        <w:rPr>
          <w:rFonts w:ascii="Times New Roman" w:hAnsi="Times New Roman"/>
          <w:b/>
          <w:i w:val="false"/>
          <w:color w:val="000000"/>
          <w:sz w:val="22"/>
        </w:rPr>
        <w:t xml:space="preserve">(139A) </w:t>
      </w:r>
      <w:r>
        <w:rPr>
          <w:rFonts w:ascii="Times New Roman" w:hAnsi="Times New Roman"/>
          <w:b/>
          <w:i w:val="false"/>
          <w:color w:val="000000"/>
          <w:sz w:val="22"/>
        </w:rPr>
        <w:t xml:space="preserve">Persons included. </w:t>
      </w:r>
      <w:r>
        <w:rPr>
          <w:rFonts w:ascii="Times New Roman" w:hAnsi="Times New Roman"/>
          <w:b w:val="false"/>
          <w:i w:val="false"/>
          <w:color w:val="000000"/>
          <w:sz w:val="22"/>
        </w:rPr>
        <w:t>The immunization requirements specified elsewhere in these rules apply to all persons enrolled or attempting to enroll in a licensed child care center or a public or nonpublic elementary or secondary school in Iowa including those who are provided competent private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w:t>
      </w:r>
      <w:r>
        <w:rPr>
          <w:rFonts w:ascii="Times New Roman" w:hAnsi="Times New Roman"/>
          <w:b/>
          <w:i w:val="false"/>
          <w:color w:val="000000"/>
          <w:sz w:val="22"/>
        </w:rPr>
        <w:t xml:space="preserve">(139A)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 xml:space="preserve">Exclusions to these rules are permitted on an individual basis for medical and religious reasons pursuant to Iowa Code section </w:t>
      </w:r>
      <w:hyperlink r:id="rId13">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Applicants approved for medical or religious exemptions shall submit to the admitting official a valid department certificate of immunization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valid, a medical certificate of immunization exemption shall contain, at a minimum, the applicant’s last name, first name, and date of birth, the vaccine(s) exempted, and an expiration date (if applicable) and shall bear the signature of a physician, nurse practitioner, or physician assistant. Language included on the medical certificate of immunization exemption referencing rule </w:t>
      </w:r>
      <w:hyperlink r:id="rId14">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 xml:space="preserve">(139A) cannot be altered. Any edits or alterations to the medical certificate of immunization exemption referencing rule </w:t>
      </w:r>
      <w:hyperlink r:id="rId15">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(139A) will invalidate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medical exemption may apply to a specific vaccine(s) or all required vaccines. If, in the opinion of the physician, nurse practitioner, or physician assistant issuing the medical exemption, the exemption should be terminated or reviewed at a future date, an expiration date shall be recorded on the certificate of immunization exemption;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medical exemption may apply when the administration of the required vaccine would violate minimum interval spacing and the exemption shall apply only to an applicant who has not received prior doses of the exempted vaccine. An expiration date, not to exceed 60 calendar days, and the name of the vaccine exempted shall be recorded on the medical certificate of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exemption may be granted to an applicant if immunization conflicts with a genuine and sincere religious belief. To be valid, a religious certificate of immunization exemption for religious reasons shall contain, at a minimum, the applicant’s last name, first name, and date of birth and shall bear the signature of the applicant or, if the applicant is a minor, of the applicant’s parent or guardian and shall attest that immunization conflicts with a genuine and sincere religious belief and that the belief is in fact religious and not based merely on philosophical, scientific, moral, personal, or medical opposition to immunizations. Language included on the religious certificate of immunization exemption referencing rule </w:t>
      </w:r>
      <w:hyperlink r:id="rId16">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 xml:space="preserve">(139A) cannot be altered. Any edits or alterations to the religious certificate of immunization exemption referencing rule </w:t>
      </w:r>
      <w:hyperlink r:id="rId17">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(139A) will invalidate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and religious exemptions do not apply in times of emergency or epidemic pursuant to Iowa Code section </w:t>
      </w:r>
      <w:hyperlink r:id="rId18">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641—7.4</w:t>
      </w:r>
      <w:r>
        <w:rPr>
          <w:rFonts w:ascii="Times New Roman" w:hAnsi="Times New Roman"/>
          <w:b/>
          <w:i w:val="false"/>
          <w:color w:val="000000"/>
          <w:sz w:val="22"/>
        </w:rPr>
        <w:t xml:space="preserve">(139A) </w:t>
      </w:r>
      <w:r>
        <w:rPr>
          <w:rFonts w:ascii="Times New Roman" w:hAnsi="Times New Roman"/>
          <w:b/>
          <w:i w:val="false"/>
          <w:color w:val="000000"/>
          <w:sz w:val="22"/>
        </w:rPr>
        <w:t xml:space="preserve">Required immunizations.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Applicants enrolled or attempting to enroll shall have received the following vaccines in accordance with the doses and age requirements below:</w:t>
      </w:r>
    </w:p>
    <w:p>
      <w:pPr>
        <w:spacing w:before="0" w:after="0"/>
        <w:ind w:left="120"/>
        <w:jc w:val="both"/>
      </w:pPr>
      <w:r>
        <w:drawing>
          <wp:inline distT="0" distB="0" distL="0" distR="0">
            <wp:extent cx="5063014" cy="655324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9"/>
                    <a:stretch>
                      <a:fillRect/>
                    </a:stretch>
                  </pic:blipFill>
                  <pic:spPr>
                    <a:xfrm>
                      <a:off x="0" y="0"/>
                      <a:ext cx="5063014" cy="6553248"/>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Vaccine doses administered less than or equal to four days before the minimum interval or age shall be counted as valid. Doses administered greater than or equal to five days earlier than the minimum interval or age shall not be counted as valid doses and shall be repeated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For vaccine administration, the minimum age and intervals recommended by the advisory committee on immunization practices shall be followed.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w:t>
      </w:r>
      <w:r>
        <w:rPr>
          <w:rFonts w:ascii="Times New Roman" w:hAnsi="Times New Roman"/>
          <w:b/>
          <w:i w:val="false"/>
          <w:color w:val="000000"/>
          <w:sz w:val="22"/>
        </w:rPr>
        <w:t xml:space="preserve">(139A) </w:t>
      </w:r>
      <w:r>
        <w:rPr>
          <w:rFonts w:ascii="Times New Roman" w:hAnsi="Times New Roman"/>
          <w:b/>
          <w:i w:val="false"/>
          <w:color w:val="000000"/>
          <w:sz w:val="22"/>
        </w:rPr>
        <w:t xml:space="preserve">Required education. </w:t>
      </w:r>
      <w:r>
        <w:rPr>
          <w:rFonts w:ascii="Times New Roman" w:hAnsi="Times New Roman"/>
          <w:b w:val="false"/>
          <w:i w:val="false"/>
          <w:color w:val="000000"/>
          <w:sz w:val="22"/>
        </w:rPr>
        <w:t xml:space="preserve">An institution of higher education with an on-campus residence hall or dormitory shall provide vaccination information on meningococcal disease to enrolled students on a student health form pursuant to Iowa Code section </w:t>
      </w:r>
      <w:hyperlink r:id="rId20">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For purposes of this rule, student health form(s) means a document(s) prepared by an institution of higher education that contains, at a minimum, information on meningococcal disease, vaccination information and any recommendations issued by the national Centers for Disease Control and Prevention regarding meningococcal disease. The student health form(s) shall also include space for the postsecondary student to indicate whether or not the postsecondary student has received vaccination against meningococcal disease, including, at a minimum, the date of vaccination. The student health form(s) shall also include space for the postsecondary student to indicate whether or not the postsecondary student has received information on meningococcal disease and benefits of vaccine. If a traditional student health form is not utilized by the institution of higher education, any document(s) containing the above information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w:t>
      </w:r>
      <w:r>
        <w:rPr>
          <w:rFonts w:ascii="Times New Roman" w:hAnsi="Times New Roman"/>
          <w:b/>
          <w:i w:val="false"/>
          <w:color w:val="000000"/>
          <w:sz w:val="22"/>
        </w:rPr>
        <w:t xml:space="preserve">(139A) </w:t>
      </w:r>
      <w:r>
        <w:rPr>
          <w:rFonts w:ascii="Times New Roman" w:hAnsi="Times New Roman"/>
          <w:b/>
          <w:i w:val="false"/>
          <w:color w:val="000000"/>
          <w:sz w:val="22"/>
        </w:rPr>
        <w:t xml:space="preserve">Proof of immunization.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A valid department certificate of immunization shall be submitted by the applicant or, if the applicant is a minor, by the applicant’s parent or guardian to the admitting official of the school or licensed child care center in which the applicant wishes to enroll. To be valid, the certificate shall be the certificate of immunization issued by the department, a computer-generated copy from the immunization registry, or a certificate of immunization that has been approved in writing by the department. The certificate shall contain, at a minimum, the applicant’s last name, first name, and date of birth, the vaccine(s) administered, the date(s) given, and the signature of a physician, a physician assistant, a nurse, or a certified medical assistant. A faxed copy, photocopy, or electronic copy of the valid certificate is acceptable. The judgment of the adequacy of the applicant’s immunization history should be based on records kept by the person signing the certificate of immunization or on that person’s personal knowledge of the applicant’s immunization history, or comparable immunization records from another person or agency, or an international certificate of vaccination, or the applicant’s personal health records. If personal health records are used to make the judgment, the records shall include the vaccine(s) administered and the date given. Persons validating the certificate of immunization are not held responsible for the accuracy of the information used to validate the certificate of immunization if the information is from sources other than their own records or personal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Persons wishing to enroll who do not have a valid department certificate of immunization available to submit to the admitting official shall be referred to a physician, a physician assistant, a nurse, or a certified medical assistant to obtain a valid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w:t>
      </w:r>
      <w:r>
        <w:rPr>
          <w:rFonts w:ascii="Times New Roman" w:hAnsi="Times New Roman"/>
          <w:b/>
          <w:i w:val="false"/>
          <w:color w:val="000000"/>
          <w:sz w:val="22"/>
        </w:rPr>
        <w:t xml:space="preserve">(139A) </w:t>
      </w:r>
      <w:r>
        <w:rPr>
          <w:rFonts w:ascii="Times New Roman" w:hAnsi="Times New Roman"/>
          <w:b/>
          <w:i w:val="false"/>
          <w:color w:val="000000"/>
          <w:sz w:val="22"/>
        </w:rPr>
        <w:t xml:space="preserve">Provisional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be granted provisional enrollment pursuant to Iowa Code section </w:t>
      </w:r>
      <w:hyperlink r:id="rId21">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A valid department provisional certificate of immunization shall be submitted by the applicant or, if the applicant is a minor, by the applicant’s parent or guardian to the admitting official of the school or licensed child care center in which the applicant wishes to enroll. To qualify for provisional enrollment, applicants shall have received at least one dose of each of the required vaccines or be a transfer student from another school system. A transfer student is an applicant seeking enrollment from one United States elementary or secondary school into another. To be valid, the certificate shall be the certificate of immunization issued by the department, a computer-generated copy from the immunization registry, or a certificate of immunization that has been approved in writing by the department. The certificate shall contain, at a minimum, the applicant’s last name, first name, and date of birth, the vaccine(s) administered, the date(s) given, the remaining vaccine(s) required, the reason that the applicant qualifies for provisional enrollment, and the signature of a physician, a physician assistant, a nurse, or a certified medical assistant. Persons validating the provisional certificate of immunization are not held responsible for the accuracy of the information used to validate the provisional certificate of immunization if the information is from sources other than their own records or personal knowledge. Persons signing the provisional certificate of immunization shall certify that they have informed the applicant or, if the applicant is a minor, the applicant’s parent or guardian of the provisional enrollment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applicant seeking provisional enrollment who does not have a valid department provisional certificate of immunization to submit to the admitting official shall be referred to a physician, a physician assistant, a nurse, or a certified medical assistant to obtain a valid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The amount of time allowed for provisional enrollment shall be as soon as medically feasible but shall not exceed 60 calendar days. The period of provisional enrollment shall begin on the date the provisional certificate is signed. The person signing the provisional certificate shall assign an expiration date to the certificate and shall indicate the remaining immunizations required to qualify for a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The applicant or parent or guardian shall ensure that the applicant receives the necessary immunizations during the provisional enrollment period and shall submit a certificate of immunization to the admitting official by the end of the provisional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If at the end of the provisional enrollment period the applicant or parent or guardian has not submitted a certificate of immunization, the admitting official shall immediately exclude the applicant from the benefits, activities, and opportunities of the school or licensed child care center until the applicant or parent or guardian submits a valid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val="false"/>
          <w:color w:val="000000"/>
          <w:sz w:val="22"/>
        </w:rPr>
        <w:t>If at the end of the provisional enrollment period the applicant has not completed the required immunizations due to minimum interval requirements, a new department provisional certificate of immunization shall be submitted to the admitting official. The admitting official must maintain all issued certificates of provisional immunization with the original provisional certificate until the applicant submits a certificate of immunization.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641—7.8</w:t>
      </w:r>
      <w:r>
        <w:rPr>
          <w:rFonts w:ascii="Times New Roman" w:hAnsi="Times New Roman"/>
          <w:b/>
          <w:i w:val="false"/>
          <w:color w:val="000000"/>
          <w:sz w:val="22"/>
        </w:rPr>
        <w:t xml:space="preserve">(139A) </w:t>
      </w:r>
      <w:r>
        <w:rPr>
          <w:rFonts w:ascii="Times New Roman" w:hAnsi="Times New Roman"/>
          <w:b/>
          <w:i w:val="false"/>
          <w:color w:val="000000"/>
          <w:sz w:val="22"/>
        </w:rPr>
        <w:t xml:space="preserve">Records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It shall be the duty of the admitting official of a licensed child care center or elementary or secondary school to ensure that the admitting official has a valid department certificate of immunization, certificate of immunization exemption, or provisional certificate of immunization on file for each student by the first day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shall keep the certificates on file in the school or licensed child care center in which the student is enrolled and assist the student or parent or guardian in the transfer of the certificate to another school or licensed child care center upon the transfer of the student to another school or licensed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requested by the applicant, or parent or guardian, the admitting official shall retain the department certificate of immunization, or certificate of immunization exemption, or provisional certificate of immunization for three years commencing upon the transfer or graduation of the applicant, or the school may choose to provide the permanent immunization record to the student at time of graduation. Included with the immunization record a letter should state that this is an important document that will be needed by the student for college or employment and should be permanently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duty of the local boards of health to audit the department certificates of immunization, certificates of immunization exemption, and provisional certificates of immunization in the schools within their jurisdiction to determine compliance with Iowa Code section </w:t>
      </w:r>
      <w:hyperlink r:id="rId22">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The local boards of health shall furnish the department within 60 days of the first official day of school a report of the audit. The report shall be submitted for each school within the local board of health’s jurisdiction and shall include the enrollment by grade, and the number of department certificates of immunization, certificates of immunization exemption, and provisional certificates of immunization by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The local board of health and the department shall have the right to have access to the department certificates of immunization, certificates of immunization exemption, and the provisional certificates of immunization of children enrolled in elementary and secondary schools and licensed child care centers within the constraints of the privacy rights of parents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of an institution of higher education shall provide to the department by December 1 each year aggregate data regarding compliance with Iowa Code section </w:t>
      </w:r>
      <w:hyperlink r:id="rId23">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The data shall be forwarded to the department within 30 days. The data shall include, but not be limited to, the total number of incoming postsecondary freshmen students living in a residence hall or dormitory who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Enrolled in the institution of higher education;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Been provided information on meningococcal disease;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Been immunized with meningococcal vaccine.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641—7.9</w:t>
      </w:r>
      <w:r>
        <w:rPr>
          <w:rFonts w:ascii="Times New Roman" w:hAnsi="Times New Roman"/>
          <w:b/>
          <w:i w:val="false"/>
          <w:color w:val="000000"/>
          <w:sz w:val="22"/>
        </w:rPr>
        <w:t xml:space="preserve">(139A) </w:t>
      </w:r>
      <w:r>
        <w:rPr>
          <w:rFonts w:ascii="Times New Roman" w:hAnsi="Times New Roman"/>
          <w:b/>
          <w:i w:val="false"/>
          <w:color w:val="000000"/>
          <w:sz w:val="22"/>
        </w:rPr>
        <w:t xml:space="preserve">Compliance. </w:t>
      </w:r>
      <w:r>
        <w:rPr>
          <w:rFonts w:ascii="Times New Roman" w:hAnsi="Times New Roman"/>
          <w:b w:val="false"/>
          <w:i w:val="false"/>
          <w:color w:val="000000"/>
          <w:sz w:val="22"/>
        </w:rPr>
        <w:t xml:space="preserve">Applicants not presenting proper evidence of immunization or exemption are not entitled to enrollment in a licensed child care center or elementary or secondary school under the provisions of Iowa Code section </w:t>
      </w:r>
      <w:hyperlink r:id="rId24">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It shall be the duty of the admitting official to deny enrollment to any applicant who does not submit proper evidence of immunization and to exclude a provisionally enrolled applicant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641—7.10</w:t>
      </w:r>
      <w:r>
        <w:rPr>
          <w:rFonts w:ascii="Times New Roman" w:hAnsi="Times New Roman"/>
          <w:b/>
          <w:i w:val="false"/>
          <w:color w:val="000000"/>
          <w:sz w:val="22"/>
        </w:rPr>
        <w:t xml:space="preserve">(22) </w:t>
      </w:r>
      <w:r>
        <w:rPr>
          <w:rFonts w:ascii="Times New Roman" w:hAnsi="Times New Roman"/>
          <w:b/>
          <w:i w:val="false"/>
          <w:color w:val="000000"/>
          <w:sz w:val="22"/>
        </w:rPr>
        <w:t xml:space="preserve">Statewide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Statewide registry. </w:t>
      </w:r>
      <w:r>
        <w:rPr>
          <w:rFonts w:ascii="Times New Roman" w:hAnsi="Times New Roman"/>
          <w:b w:val="false"/>
          <w:i w:val="false"/>
          <w:color w:val="000000"/>
          <w:sz w:val="22"/>
        </w:rPr>
        <w:t>The department shall maintain a statewide immunization and health screening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Purpose and permitted uses of registry.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registry shall contain immunization and health screening information, including identifying and demographic data, to allow enrolled users to maintain and access a database of immunization and health screening histories for purposes of ensuring patients are fully immunized and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registry may be used to track inventory or utilization of pharmaceutical agents identified by the department to prepare for or respond to an emergency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Enrolled users shall not use information obtained from the registry to market services to patients or nonpatients, to assist in bill collection services, or to locate or identify patients or nonpatients for any purpose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registry shall contain health screening data, including screening results and follow-up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to the registry. </w:t>
      </w:r>
      <w:r>
        <w:rPr>
          <w:rFonts w:ascii="Times New Roman" w:hAnsi="Times New Roman"/>
          <w:b w:val="false"/>
          <w:i w:val="false"/>
          <w:color w:val="000000"/>
          <w:sz w:val="22"/>
        </w:rPr>
        <w:t>Enrolled users shall provide immunization and health screening information, including identifying and demographic data, to the registry. Information provided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Sex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Ethnicity;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Birth state and birth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Parents’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Mother’s maiden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Type of vaccination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Dose or series number of vaccine;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Date vaccination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Lot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health screening;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 of health screening;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screening follow-up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Patient comments;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Provider name, license, and business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Patient history, including previously unreported doses.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registry information. </w:t>
      </w:r>
      <w:r>
        <w:rPr>
          <w:rFonts w:ascii="Times New Roman" w:hAnsi="Times New Roman"/>
          <w:b w:val="false"/>
          <w:i w:val="false"/>
          <w:color w:val="000000"/>
          <w:sz w:val="22"/>
        </w:rPr>
        <w:t>Immunization and health screening information, including identifying and demographic data maintained in the registry, is confidential and may not be disclosed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information from the registry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or the parent or legal guardian of the person immunized or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Enrolled users of the registry who have completed a department enrollment form that specifies the conditions under which the registry can be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or entities requesting immunization or health screening data in an aggregate form that does not identify an individual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Agencies that complete an agreement with the department that specifies conditions for access to registry data and how that data will be used. Agencies shall not use information obtained from the registry to market services to patients or nonpatients, to assist in bill collection services, or to locate or identify patients or nonpatients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entity bound by that state or federal agency, to the extent that the information is necessary to perform a legally authorized function of that agency or the department. The state or federal agency is subject to confidentiality regulations that are the same as or more stringent than those in the state of Iowa. State or federal agencies shall not use information obtained from the registry to market services to patients or nonpatients, to assist in bill collection services, or to locate or identify patients or nonpatients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of a licensed child care center, elementary school, secondary school, or postsecondary school; or medical or health care providers providing continuity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Users from other states or jurisdictions who have signed and completed enrollment in the state’s or jurisdiction’s immunization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Users shall not release data obtained from the registry except to the person or the parent or legal guardian of the person immunized or screened, admitting officials of licensed child care centers and schools, medical or health care providers providing continuity of care, and other enrolled users of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Suspend or terminate access. </w:t>
      </w:r>
      <w:r>
        <w:rPr>
          <w:rFonts w:ascii="Times New Roman" w:hAnsi="Times New Roman"/>
          <w:b w:val="false"/>
          <w:i w:val="false"/>
          <w:color w:val="000000"/>
          <w:sz w:val="22"/>
        </w:rPr>
        <w:t>The department will approve, suspend, terminate, and reinstate user access in accordance with this chapter and department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641—7.11</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of immunization and health screening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Between a physician, physician assistant, nurse, certified medical assistant, pharmacist, or screening provider and the elementary, secondary, or postsecondary school or licensed child care center that the student attends. </w:t>
      </w:r>
      <w:r>
        <w:rPr>
          <w:rFonts w:ascii="Times New Roman" w:hAnsi="Times New Roman"/>
          <w:b w:val="false"/>
          <w:i w:val="false"/>
          <w:color w:val="000000"/>
          <w:sz w:val="22"/>
        </w:rPr>
        <w:t>A physician, a physician assistant, a nurse, a certified medical assistant, a pharmacist, or a screening provider shall disclose a student’s or patient’s immunization or health screening information, including the name, date of birth, and demographic information; vaccine(s) administered and the month, day and year of administration; health screening results; and clinic source and location, to an elementary, secondary, or postsecondary school or a licensed child care center upon written or verbal request from the elementary, secondary, or postsecondary school or licensed child care center. Written or verbal permission from a student or parent is not required to release this information to an elementary, secondary, or postsecondary school or licensed child care center that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Among physicians, physician assistants, nurses, certified medical assistants, pharmacists or screening providers. </w:t>
      </w:r>
      <w:r>
        <w:rPr>
          <w:rFonts w:ascii="Times New Roman" w:hAnsi="Times New Roman"/>
          <w:b w:val="false"/>
          <w:i w:val="false"/>
          <w:color w:val="000000"/>
          <w:sz w:val="22"/>
        </w:rPr>
        <w:t>Immunization or health screening information, including the student’s or patient’s name, date of birth, and demographic information; vaccine(s) administered and the month, day and year of administration; health screening results; and clinic source and location, shall be provided by a physician, physician assistant, nurse, certified medical assistant, pharmacist, or screening provider to another health care provider without written or verbal permission from the student, parent, guardian or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Among an elementary school, secondary school, postsecondary school, and licensed child care center that the student attends. </w:t>
      </w:r>
      <w:r>
        <w:rPr>
          <w:rFonts w:ascii="Times New Roman" w:hAnsi="Times New Roman"/>
          <w:b w:val="false"/>
          <w:i w:val="false"/>
          <w:color w:val="000000"/>
          <w:sz w:val="22"/>
        </w:rPr>
        <w:t>An elementary school, secondary school, postsecondary school, and licensed child care center shall disclose a student’s immunization or health screening information, including the student’s name, date of birth, and demographic information; vaccine(s) administered and the month, day and year of administration; health screening results; and clinic source and location, to another elementary school, secondary school, postsecondary school, and licensed child care center that the student attends. Written or verbal permission from a student, or if the student is a minor, the student’s parent or guardian, is not required to release this information to an elementary school, secondary school, postsecondary school, and licensed child care center that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Among the department and a physician, physician assistant, nurse, certified medical assistant, pharmacist, screening provider, elementary school, secondary school, postsecondary school, and licensed child care center. </w:t>
      </w:r>
      <w:r>
        <w:rPr>
          <w:rFonts w:ascii="Times New Roman" w:hAnsi="Times New Roman"/>
          <w:b w:val="false"/>
          <w:i w:val="false"/>
          <w:color w:val="000000"/>
          <w:sz w:val="22"/>
        </w:rPr>
        <w:t>A student’s or patient’s immunization or health screening information, including name, date of birth, grade, and demographic information; vaccine(s) administered and the month, day and year of administration; and health screening results, clinic source, and location, all in a format specified by the department, shall be disclosed upon written or verbal request among the department, physicians, physician assistants, nurses, certified medical assistants, pharmacists, screening providers, elementary schools, secondary schools, postsecondary schools, and licensed child care centers. Written or verbal permission from a student, patient, parent, or guardian is not required to release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Among the department and physicians, physician assistants, nurses, resettlement agencies, federal, state, and local government agencies, and certified medical assistants conducting refugee health screenings. </w:t>
      </w:r>
      <w:r>
        <w:rPr>
          <w:rFonts w:ascii="Times New Roman" w:hAnsi="Times New Roman"/>
          <w:b w:val="false"/>
          <w:i w:val="false"/>
          <w:color w:val="000000"/>
          <w:sz w:val="22"/>
        </w:rPr>
        <w:t>Refugee health screenings shall be disclosed only as indicated in this rule. Immunization or health screening information, including the patient’s name, date of birth, and demographic information; the vaccine(s) administered and the month, day, and year of administration; health screening results; and clinic source and location, shall be disclosed upon written or verbal request among the department, physicians, physician assistants, nurses, certified medical assistants, resettlement agencies, federal, state, and local government agencies, or screening providers to another health care provider or the department. Written or verbal permission from the parent, guardian or patient is not required to release this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11/10/77, Notice 10/5/77—published 11/30/77, effective 1/4/78]</w:t>
      </w:r>
    </w:p>
    <w:p>
      <w:pPr>
        <w:spacing w:before="0" w:after="0"/>
        <w:ind w:left="120"/>
        <w:jc w:val="center"/>
      </w:pPr>
      <w:r>
        <w:rPr>
          <w:rFonts w:ascii="Times New Roman" w:hAnsi="Times New Roman"/>
          <w:b w:val="false"/>
          <w:i w:val="false"/>
          <w:color w:val="000000"/>
          <w:sz w:val="21"/>
        </w:rPr>
        <w:t>[Filed emergency 12/23/77—published 1/11/78, effective 12/23/77]</w:t>
      </w:r>
    </w:p>
    <w:p>
      <w:pPr>
        <w:spacing w:before="0" w:after="0"/>
        <w:ind w:left="120"/>
        <w:jc w:val="center"/>
      </w:pPr>
      <w:r>
        <w:rPr>
          <w:rFonts w:ascii="Times New Roman" w:hAnsi="Times New Roman"/>
          <w:b w:val="false"/>
          <w:i w:val="false"/>
          <w:color w:val="000000"/>
          <w:sz w:val="21"/>
        </w:rPr>
        <w:t>[Filed emergency 9/18/78 after Notice 5/31/78—published 10/4/78, effective 9/18/78]</w:t>
      </w:r>
    </w:p>
    <w:p>
      <w:pPr>
        <w:spacing w:before="0" w:after="0"/>
        <w:ind w:left="120"/>
        <w:jc w:val="center"/>
      </w:pPr>
      <w:r>
        <w:rPr>
          <w:rFonts w:ascii="Times New Roman" w:hAnsi="Times New Roman"/>
          <w:b w:val="false"/>
          <w:i w:val="false"/>
          <w:color w:val="000000"/>
          <w:sz w:val="21"/>
        </w:rPr>
        <w:t>[Filed emergency 8/7/80 after Notice 6/11/80—published 9/3/80, effective 8/8/80]</w:t>
      </w:r>
    </w:p>
    <w:p>
      <w:pPr>
        <w:spacing w:before="0" w:after="0"/>
        <w:ind w:left="120"/>
        <w:jc w:val="center"/>
      </w:pPr>
      <w:r>
        <w:rPr>
          <w:rFonts w:ascii="Times New Roman" w:hAnsi="Times New Roman"/>
          <w:b w:val="false"/>
          <w:i w:val="false"/>
          <w:color w:val="000000"/>
          <w:sz w:val="21"/>
        </w:rPr>
        <w:t>[Filed emergency 1/15/81—published 2/4/81, effective 1/15/81]</w:t>
      </w:r>
    </w:p>
    <w:p>
      <w:pPr>
        <w:spacing w:before="0" w:after="0"/>
        <w:ind w:left="120"/>
        <w:jc w:val="center"/>
      </w:pPr>
      <w:r>
        <w:rPr>
          <w:rFonts w:ascii="Times New Roman" w:hAnsi="Times New Roman"/>
          <w:b w:val="false"/>
          <w:i w:val="false"/>
          <w:color w:val="000000"/>
          <w:sz w:val="21"/>
        </w:rPr>
        <w:t>[Filed 9/23/83, Notice 7/6/83—published 10/12/83, effective 11/16/83]</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1/11/89, Notice 10/19/88—published 2/8/89, effective 3/17/89]</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5/16/94, Notice 3/2/94—published 6/8/94, effective 7/13/94]</w:t>
      </w:r>
    </w:p>
    <w:p>
      <w:pPr>
        <w:spacing w:before="0" w:after="0"/>
        <w:ind w:left="120"/>
        <w:jc w:val="center"/>
      </w:pPr>
      <w:r>
        <w:rPr>
          <w:rFonts w:ascii="Times New Roman" w:hAnsi="Times New Roman"/>
          <w:b w:val="false"/>
          <w:i w:val="false"/>
          <w:color w:val="000000"/>
          <w:sz w:val="21"/>
        </w:rPr>
        <w:t>[Filed 5/13/96, Notice 3/27/96—published 6/5/96, effective 7/10/96]</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emergency 7/9/03—published 8/6/03, effective 7/9/03]</w:t>
      </w:r>
    </w:p>
    <w:p>
      <w:pPr>
        <w:spacing w:before="0" w:after="0"/>
        <w:ind w:left="120"/>
        <w:jc w:val="center"/>
      </w:pPr>
      <w:r>
        <w:rPr>
          <w:rFonts w:ascii="Times New Roman" w:hAnsi="Times New Roman"/>
          <w:b w:val="false"/>
          <w:i w:val="false"/>
          <w:color w:val="000000"/>
          <w:sz w:val="21"/>
        </w:rPr>
        <w:t>[Filed 9/12/03, Notice 8/6/03—published 10/1/03, effective 11/5/03]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7/15/05, Notice 5/25/05—published 8/3/05, effective 9/7/05]</w:t>
      </w:r>
    </w:p>
    <w:p>
      <w:pPr>
        <w:spacing w:before="0" w:after="0"/>
        <w:ind w:left="120"/>
        <w:jc w:val="center"/>
      </w:pPr>
      <w:r>
        <w:rPr>
          <w:rFonts w:ascii="Times New Roman" w:hAnsi="Times New Roman"/>
          <w:b w:val="false"/>
          <w:i w:val="false"/>
          <w:color w:val="000000"/>
          <w:sz w:val="21"/>
        </w:rPr>
        <w:t>[Filed emergency 1/11/06—published 2/1/06, effective 1/11/06]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8377B, IAB 12/16/09, effective 11/18/09]</w:t>
      </w:r>
    </w:p>
    <w:p>
      <w:pPr>
        <w:spacing w:before="0" w:after="0"/>
        <w:ind w:left="120"/>
        <w:jc w:val="center"/>
      </w:pPr>
      <w:r>
        <w:rPr>
          <w:rFonts w:ascii="Times New Roman" w:hAnsi="Times New Roman"/>
          <w:b w:val="false"/>
          <w:i w:val="false"/>
          <w:color w:val="000000"/>
          <w:sz w:val="21"/>
        </w:rPr>
        <w:t>[Filed ARC 8658B</w:t>
      </w:r>
      <w:r>
        <w:rPr>
          <w:rFonts w:ascii="Times New Roman" w:hAnsi="Times New Roman"/>
          <w:b w:val="false"/>
          <w:i w:val="false"/>
          <w:color w:val="000000"/>
          <w:sz w:val="21"/>
        </w:rPr>
        <w:t xml:space="preserve"> (Notice ARC 8399B, IAB 12/16/09; </w:t>
      </w:r>
      <w:r>
        <w:rPr>
          <w:rFonts w:ascii="Times New Roman" w:hAnsi="Times New Roman"/>
          <w:b w:val="false"/>
          <w:i w:val="false"/>
          <w:color w:val="000000"/>
          <w:sz w:val="21"/>
        </w:rPr>
        <w:t>Amended Notice ARC 8491B,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0481C</w:t>
      </w:r>
      <w:r>
        <w:rPr>
          <w:rFonts w:ascii="Times New Roman" w:hAnsi="Times New Roman"/>
          <w:b w:val="false"/>
          <w:i w:val="false"/>
          <w:color w:val="000000"/>
          <w:sz w:val="21"/>
        </w:rPr>
        <w:t xml:space="preserve"> (Notice ARC 0370C,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Emergency ARC 0586C, IAB 2/6/13, effective 1/16/13]</w:t>
      </w:r>
    </w:p>
    <w:p>
      <w:pPr>
        <w:spacing w:before="0" w:after="0"/>
        <w:ind w:left="120"/>
        <w:jc w:val="center"/>
      </w:pPr>
      <w:r>
        <w:rPr>
          <w:rFonts w:ascii="Times New Roman" w:hAnsi="Times New Roman"/>
          <w:b w:val="false"/>
          <w:i w:val="false"/>
          <w:color w:val="000000"/>
          <w:sz w:val="21"/>
        </w:rPr>
        <w:t>[Filed ARC 1477C</w:t>
      </w:r>
      <w:r>
        <w:rPr>
          <w:rFonts w:ascii="Times New Roman" w:hAnsi="Times New Roman"/>
          <w:b w:val="false"/>
          <w:i w:val="false"/>
          <w:color w:val="000000"/>
          <w:sz w:val="21"/>
        </w:rPr>
        <w:t xml:space="preserve"> (Notice ARC 1229C, IAB 12/11/13)</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2390C</w:t>
      </w:r>
      <w:r>
        <w:rPr>
          <w:rFonts w:ascii="Times New Roman" w:hAnsi="Times New Roman"/>
          <w:b w:val="false"/>
          <w:i w:val="false"/>
          <w:color w:val="000000"/>
          <w:sz w:val="21"/>
        </w:rPr>
        <w:t xml:space="preserve"> (Notice ARC 2306C,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2836C</w:t>
      </w:r>
      <w:r>
        <w:rPr>
          <w:rFonts w:ascii="Times New Roman" w:hAnsi="Times New Roman"/>
          <w:b w:val="false"/>
          <w:i w:val="false"/>
          <w:color w:val="000000"/>
          <w:sz w:val="21"/>
        </w:rPr>
        <w:t xml:space="preserve"> (Notice ARC 2732C,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8041C</w:t>
      </w:r>
      <w:r>
        <w:rPr>
          <w:rFonts w:ascii="Times New Roman" w:hAnsi="Times New Roman"/>
          <w:b w:val="false"/>
          <w:i w:val="false"/>
          <w:color w:val="000000"/>
          <w:sz w:val="21"/>
        </w:rPr>
        <w:t xml:space="preserve"> (Notice ARC 7372C,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5.7.pdf" Type="http://schemas.openxmlformats.org/officeDocument/2006/relationships/hyperlink" Id="rId5"/>
    <Relationship TargetMode="External" Target="https://www.legis.iowa.gov/docs/ico/chapter/299A.1.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256.183.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55A.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co/chapter/139A.8.pdf" Type="http://schemas.openxmlformats.org/officeDocument/2006/relationships/hyperlink" Id="rId13"/>
    <Relationship TargetMode="External" Target="https://www.legis.iowa.gov/docs/iac/rule/641.7.3.pdf" Type="http://schemas.openxmlformats.org/officeDocument/2006/relationships/hyperlink" Id="rId14"/>
    <Relationship TargetMode="External" Target="https://www.legis.iowa.gov/docs/iac/rule/641.7.3.pdf" Type="http://schemas.openxmlformats.org/officeDocument/2006/relationships/hyperlink" Id="rId15"/>
    <Relationship TargetMode="External" Target="https://www.legis.iowa.gov/docs/iac/rule/641.7.3.pdf" Type="http://schemas.openxmlformats.org/officeDocument/2006/relationships/hyperlink" Id="rId16"/>
    <Relationship TargetMode="External" Target="https://www.legis.iowa.gov/docs/iac/rule/641.7.3.pdf" Type="http://schemas.openxmlformats.org/officeDocument/2006/relationships/hyperlink" Id="rId17"/>
    <Relationship TargetMode="External" Target="https://www.legis.iowa.gov/docs/ico/chapter/139A.8.pdf" Type="http://schemas.openxmlformats.org/officeDocument/2006/relationships/hyperlink" Id="rId18"/>
    <Relationship Target="media/document_image_rId19.png" Type="http://schemas.openxmlformats.org/officeDocument/2006/relationships/image" Id="rId19"/>
    <Relationship TargetMode="External" Target="https://www.legis.iowa.gov/docs/ico/chapter/139A.26.pdf" Type="http://schemas.openxmlformats.org/officeDocument/2006/relationships/hyperlink" Id="rId20"/>
    <Relationship TargetMode="External" Target="https://www.legis.iowa.gov/docs/ico/chapter/139A.8.pdf" Type="http://schemas.openxmlformats.org/officeDocument/2006/relationships/hyperlink" Id="rId21"/>
    <Relationship TargetMode="External" Target="https://www.legis.iowa.gov/docs/ico/chapter/139A.8.pdf" Type="http://schemas.openxmlformats.org/officeDocument/2006/relationships/hyperlink" Id="rId22"/>
    <Relationship TargetMode="External" Target="https://www.legis.iowa.gov/docs/ico/chapter/139A.26.pdf" Type="http://schemas.openxmlformats.org/officeDocument/2006/relationships/hyperlink" Id="rId23"/>
    <Relationship TargetMode="External" Target="https://www.legis.iowa.gov/docs/ico/chapter/139A.8.pdf" Type="http://schemas.openxmlformats.org/officeDocument/2006/relationships/hyperlink" Id="rId24"/>
    <Relationship TargetMode="External" Target="https://www.legis.iowa.gov/docs/ico/chapter/139A.8.pdf" Type="http://schemas.openxmlformats.org/officeDocument/2006/relationships/hyperlink" Id="rId25"/>
    <Relationship TargetMode="External" Target="https://www.legis.iowa.gov/docs/ico/chapter/139A.26.pdf" Type="http://schemas.openxmlformats.org/officeDocument/2006/relationships/hyperlink" Id="rId26"/>
    <Relationship TargetMode="External" Target="https://www.legis.iowa.gov/docs/ico/chapter/22.7.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