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142</w:t>
      </w:r>
    </w:p>
    <w:p>
      <w:pPr>
        <w:spacing w:before="0" w:after="0"/>
        <w:ind w:left="120"/>
        <w:jc w:val="center"/>
      </w:pPr>
      <w:r>
        <w:rPr>
          <w:rFonts w:ascii="Times New Roman" w:hAnsi="Times New Roman"/>
          <w:b w:val="false"/>
          <w:i w:val="false"/>
          <w:color w:val="000000"/>
          <w:sz w:val="21"/>
        </w:rPr>
        <w:t>OUT-OF-HOSPITAL DO-NOT-RESUSCITATE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641—142.1</w:t>
      </w:r>
      <w:r>
        <w:rPr>
          <w:rFonts w:ascii="Times New Roman" w:hAnsi="Times New Roman"/>
          <w:b/>
          <w:i w:val="false"/>
          <w:color w:val="000000"/>
          <w:sz w:val="22"/>
        </w:rPr>
        <w:t xml:space="preserve">(144A)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an individual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“Attending physician” </w:t>
      </w:r>
      <w:r>
        <w:rPr>
          <w:rFonts w:ascii="Times New Roman" w:hAnsi="Times New Roman"/>
          <w:b w:val="false"/>
          <w:i w:val="false"/>
          <w:color w:val="000000"/>
          <w:sz w:val="22"/>
        </w:rPr>
        <w:t>means a physician selected by, or assigned to, the patient who has primary responsibility for the treatment and care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“Attending physician assistant” </w:t>
      </w:r>
      <w:r>
        <w:rPr>
          <w:rFonts w:ascii="Times New Roman" w:hAnsi="Times New Roman"/>
          <w:b w:val="false"/>
          <w:i w:val="false"/>
          <w:color w:val="000000"/>
          <w:sz w:val="22"/>
        </w:rPr>
        <w:t>means the physician assistant selected by, or assigned to, the patient who has primary responsibility for the treatment and care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“Comfort care” </w:t>
      </w:r>
      <w:r>
        <w:rPr>
          <w:rFonts w:ascii="Times New Roman" w:hAnsi="Times New Roman"/>
          <w:b w:val="false"/>
          <w:i w:val="false"/>
          <w:color w:val="000000"/>
          <w:sz w:val="22"/>
        </w:rPr>
        <w:t>means care within the scope of the health care provider’s training and certification to alleviate pain and suffering but does not include resuscitative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means such medical procedures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Administration of intravenous solutions.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Intubation.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Performance of cardiac defibrillation and synchronized cardioversion.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Administration of emergency drugs as provided by rule by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medical procedure approved by the department, by rule, as appropriate to be performed by emergency medical care providers who have been certified in that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provider” </w:t>
      </w:r>
      <w:r>
        <w:rPr>
          <w:rFonts w:ascii="Times New Roman" w:hAnsi="Times New Roman"/>
          <w:b w:val="false"/>
          <w:i w:val="false"/>
          <w:color w:val="000000"/>
          <w:sz w:val="22"/>
        </w:rPr>
        <w:t xml:space="preserve">means an emergency medical care provider as defined in Iowa Code section </w:t>
      </w:r>
      <w:hyperlink r:id="rId5">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a person, including an emergency medical care provider, who is licensed, certified, or otherwise authorized or permitted by the law of this state to administer health care in the ordinary course of business or in the practice of a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any hospital licensed under the provisions of Iowa Code section </w:t>
      </w:r>
      <w:hyperlink r:id="rId6">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“Life-sustaining procedure” </w:t>
      </w:r>
      <w:r>
        <w:rPr>
          <w:rFonts w:ascii="Times New Roman" w:hAnsi="Times New Roman"/>
          <w:b w:val="false"/>
          <w:i w:val="false"/>
          <w:color w:val="000000"/>
          <w:sz w:val="22"/>
        </w:rPr>
        <w:t>means any medical procedure, treatment, or intervention, including resuscitation, which utilizes mechanical or artificial means to sustain, restore or supplant a spontaneous vital function, and when applied to a patient in a terminal condition, would serve only to prolong the dying process. “Life-sustaining procedure” does not include the provision of nutrition or hydration except when required to be provided parenterally or through intubation or the administration of medication or performance of any medical procedure deemed necessary to provide comfort care or to alleviate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direction” </w:t>
      </w:r>
      <w:r>
        <w:rPr>
          <w:rFonts w:ascii="Times New Roman" w:hAnsi="Times New Roman"/>
          <w:b w:val="false"/>
          <w:i w:val="false"/>
          <w:color w:val="000000"/>
          <w:sz w:val="22"/>
        </w:rPr>
        <w:t>means direction, advice, or orders provided by a medical director or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means any physician licensed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is responsible for overall medical direction of the service program and who has completed a medical director workshop, sponsored by the department, within one year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medical direction” </w:t>
      </w:r>
      <w:r>
        <w:rPr>
          <w:rFonts w:ascii="Times New Roman" w:hAnsi="Times New Roman"/>
          <w:b w:val="false"/>
          <w:i w:val="false"/>
          <w:color w:val="000000"/>
          <w:sz w:val="22"/>
        </w:rPr>
        <w:t>means immediate medical direction provided directly to service program emergency medical care providers, in accordance with written parameters and protocols, by the medical director or supervising physician, either on scene or by any telecommunications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do-not-resuscitate identifier”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“OOH DNR identifier” </w:t>
      </w:r>
      <w:r>
        <w:rPr>
          <w:rFonts w:ascii="Times New Roman" w:hAnsi="Times New Roman"/>
          <w:b w:val="false"/>
          <w:i w:val="false"/>
          <w:color w:val="000000"/>
          <w:sz w:val="22"/>
        </w:rPr>
        <w:t>means a durable yet easily removable unique identification approved by the department and worn by a patient who has an out-of-hospital do-not-resuscitate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do-not-resuscitate order”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“OOH DNR order” </w:t>
      </w:r>
      <w:r>
        <w:rPr>
          <w:rFonts w:ascii="Times New Roman" w:hAnsi="Times New Roman"/>
          <w:b w:val="false"/>
          <w:i w:val="false"/>
          <w:color w:val="000000"/>
          <w:sz w:val="22"/>
        </w:rPr>
        <w:t xml:space="preserve">means a written order on a form approved by the department, signed by an attending physician, executed in accordance with the requirements of Iowa Code section </w:t>
      </w:r>
      <w:hyperlink r:id="rId8">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and issued consistent with Iowa Code section </w:t>
      </w:r>
      <w:hyperlink r:id="rId9">
        <w:r>
          <w:rPr>
            <w:rStyle w:val="Hyperlink"/>
            <w:rFonts w:ascii="Times New Roman" w:hAnsi="Times New Roman"/>
            <w:b w:val="false"/>
            <w:i w:val="false"/>
            <w:color w:val="000000"/>
            <w:sz w:val="22"/>
          </w:rPr>
          <w:t>144A.2</w:t>
        </w:r>
      </w:hyperlink>
      <w:r>
        <w:rPr>
          <w:rFonts w:ascii="Times New Roman" w:hAnsi="Times New Roman"/>
          <w:b w:val="false"/>
          <w:i w:val="false"/>
          <w:color w:val="000000"/>
          <w:sz w:val="22"/>
        </w:rPr>
        <w:t>, that directs the withholding or withdrawal of resuscitation when an adult patient in a terminal condition is outside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“Out-of-hospital do-not-resuscitate protocol”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“OOH DNR protocol” </w:t>
      </w:r>
      <w:r>
        <w:rPr>
          <w:rFonts w:ascii="Times New Roman" w:hAnsi="Times New Roman"/>
          <w:b w:val="false"/>
          <w:i w:val="false"/>
          <w:color w:val="000000"/>
          <w:sz w:val="22"/>
        </w:rPr>
        <w:t>means the statewide protocol approved by the department and intended to avoid unwarranted resuscitation by emergency medical care providers when a valid out-of-hospital do-not-resuscitate order or identifier is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any individual who is sick, injured, or otherwise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any individual licensed under Iowa Code chapter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patient” </w:t>
      </w:r>
      <w:r>
        <w:rPr>
          <w:rFonts w:ascii="Times New Roman" w:hAnsi="Times New Roman"/>
          <w:b w:val="false"/>
          <w:i w:val="false"/>
          <w:color w:val="000000"/>
          <w:sz w:val="22"/>
        </w:rPr>
        <w:t xml:space="preserve">means any patient who is an adult as defined in Iowa Code section </w:t>
      </w:r>
      <w:hyperlink r:id="rId12">
        <w:r>
          <w:rPr>
            <w:rStyle w:val="Hyperlink"/>
            <w:rFonts w:ascii="Times New Roman" w:hAnsi="Times New Roman"/>
            <w:b w:val="false"/>
            <w:i w:val="false"/>
            <w:color w:val="000000"/>
            <w:sz w:val="22"/>
          </w:rPr>
          <w:t>144A.2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1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“Resuscitation” </w:t>
      </w:r>
      <w:r>
        <w:rPr>
          <w:rFonts w:ascii="Times New Roman" w:hAnsi="Times New Roman"/>
          <w:b w:val="false"/>
          <w:i w:val="false"/>
          <w:color w:val="000000"/>
          <w:sz w:val="22"/>
        </w:rPr>
        <w:t>means any medical intervention that utilizes mechanical or artificial means to sustain, restore, or supplant a spontaneous vital function, including but not limited to chest compression, defibrillation, intubation, and emergency drugs intended to alter cardiac function or otherwise to sustain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medical care ambulance service or nontransport service that has received authorization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 xml:space="preserve">means any physician licensed under Iowa Code chapter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“Terminal condition” </w:t>
      </w:r>
      <w:r>
        <w:rPr>
          <w:rFonts w:ascii="Times New Roman" w:hAnsi="Times New Roman"/>
          <w:b w:val="false"/>
          <w:i w:val="false"/>
          <w:color w:val="000000"/>
          <w:sz w:val="22"/>
        </w:rPr>
        <w:t>means an incurable or irreversible condition that, without the administration of life-sustaining procedures, will, in the opinion of the attending physician, result in death within a relatively short period of time or a state of permanent unconsciousness from which, to a reasonable degree of medical certainty, there can be no recovery.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641—142.2</w:t>
      </w:r>
      <w:r>
        <w:rPr>
          <w:rFonts w:ascii="Times New Roman" w:hAnsi="Times New Roman"/>
          <w:b/>
          <w:i w:val="false"/>
          <w:color w:val="000000"/>
          <w:sz w:val="22"/>
        </w:rPr>
        <w:t xml:space="preserve">(144A,147A) </w:t>
      </w:r>
      <w:r>
        <w:rPr>
          <w:rFonts w:ascii="Times New Roman" w:hAnsi="Times New Roman"/>
          <w:b/>
          <w:i w:val="false"/>
          <w:color w:val="000000"/>
          <w:sz w:val="22"/>
        </w:rPr>
        <w:t xml:space="preserve">Responsibilities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142.2(1)</w:t>
      </w:r>
      <w:r>
        <w:rPr>
          <w:rFonts w:ascii="Times New Roman" w:hAnsi="Times New Roman"/>
          <w:b w:val="false"/>
          <w:i w:val="false"/>
          <w:color w:val="000000"/>
          <w:sz w:val="22"/>
        </w:rPr>
        <w:t> </w:t>
      </w:r>
      <w:r>
        <w:rPr>
          <w:rFonts w:ascii="Times New Roman" w:hAnsi="Times New Roman"/>
          <w:b w:val="false"/>
          <w:i/>
          <w:color w:val="000000"/>
          <w:sz w:val="22"/>
        </w:rPr>
        <w:t xml:space="preserve">OOH DNR physician or physician assistant order. </w:t>
      </w:r>
      <w:r>
        <w:rPr>
          <w:rFonts w:ascii="Times New Roman" w:hAnsi="Times New Roman"/>
          <w:b w:val="false"/>
          <w:i w:val="false"/>
          <w:color w:val="000000"/>
          <w:sz w:val="22"/>
        </w:rPr>
        <w:t>The department designates the OOH DNR order form contained in Appendix A as the uniform OOH DNR order form to be used statewide. If an attending physician or attending physician assistant issues an OOH DNR order for a qualified patient, the physician or physician assistant must use the form contained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142.2(2)</w:t>
      </w:r>
      <w:r>
        <w:rPr>
          <w:rFonts w:ascii="Times New Roman" w:hAnsi="Times New Roman"/>
          <w:b w:val="false"/>
          <w:i w:val="false"/>
          <w:color w:val="000000"/>
          <w:sz w:val="22"/>
        </w:rPr>
        <w:t> </w:t>
      </w:r>
      <w:r>
        <w:rPr>
          <w:rFonts w:ascii="Times New Roman" w:hAnsi="Times New Roman"/>
          <w:b w:val="false"/>
          <w:i/>
          <w:color w:val="000000"/>
          <w:sz w:val="22"/>
        </w:rPr>
        <w:t xml:space="preserve">OOH DNR personal identifier. </w:t>
      </w:r>
      <w:r>
        <w:rPr>
          <w:rFonts w:ascii="Times New Roman" w:hAnsi="Times New Roman"/>
          <w:b w:val="false"/>
          <w:i w:val="false"/>
          <w:color w:val="000000"/>
          <w:sz w:val="22"/>
        </w:rPr>
        <w:t>The department designates the identifier supplied by MedicAlert® as the uniform personal identifier to be used for mobile qualified patients statewide. Instructions for obtaining a uniform personal identifier are contained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142.2(3)</w:t>
      </w:r>
      <w:r>
        <w:rPr>
          <w:rFonts w:ascii="Times New Roman" w:hAnsi="Times New Roman"/>
          <w:b w:val="false"/>
          <w:i w:val="false"/>
          <w:color w:val="000000"/>
          <w:sz w:val="22"/>
        </w:rPr>
        <w:t> </w:t>
      </w:r>
      <w:r>
        <w:rPr>
          <w:rFonts w:ascii="Times New Roman" w:hAnsi="Times New Roman"/>
          <w:b w:val="false"/>
          <w:i/>
          <w:color w:val="000000"/>
          <w:sz w:val="22"/>
        </w:rPr>
        <w:t xml:space="preserve">OOH DNR protocol. </w:t>
      </w:r>
      <w:r>
        <w:rPr>
          <w:rFonts w:ascii="Times New Roman" w:hAnsi="Times New Roman"/>
          <w:b w:val="false"/>
          <w:i w:val="false"/>
          <w:color w:val="000000"/>
          <w:sz w:val="22"/>
        </w:rPr>
        <w:t>The department designates the OOH DNR protocol contained in Appendix B as the uniform protocol to be used by EMS providers in implementing an OOH DNR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142.2(4)</w:t>
      </w:r>
      <w:r>
        <w:rPr>
          <w:rFonts w:ascii="Times New Roman" w:hAnsi="Times New Roman"/>
          <w:b w:val="false"/>
          <w:i w:val="false"/>
          <w:color w:val="000000"/>
          <w:sz w:val="22"/>
        </w:rPr>
        <w:t> </w:t>
      </w:r>
      <w:r>
        <w:rPr>
          <w:rFonts w:ascii="Times New Roman" w:hAnsi="Times New Roman"/>
          <w:b w:val="false"/>
          <w:i/>
          <w:color w:val="000000"/>
          <w:sz w:val="22"/>
        </w:rPr>
        <w:t xml:space="preserve">Appendix A and Appendix B forms. </w:t>
      </w:r>
      <w:r>
        <w:rPr>
          <w:rFonts w:ascii="Times New Roman" w:hAnsi="Times New Roman"/>
          <w:b w:val="false"/>
          <w:i w:val="false"/>
          <w:color w:val="000000"/>
          <w:sz w:val="22"/>
        </w:rPr>
        <w:t xml:space="preserve">Forms referenced in subrules </w:t>
      </w:r>
      <w:hyperlink r:id="rId15">
        <w:r>
          <w:rPr>
            <w:rStyle w:val="Hyperlink"/>
            <w:rFonts w:ascii="Times New Roman" w:hAnsi="Times New Roman"/>
            <w:b w:val="false"/>
            <w:i w:val="false"/>
            <w:color w:val="000000"/>
            <w:sz w:val="22"/>
          </w:rPr>
          <w:t>142.3(1)</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142.3(3)</w:t>
        </w:r>
      </w:hyperlink>
      <w:r>
        <w:rPr>
          <w:rFonts w:ascii="Times New Roman" w:hAnsi="Times New Roman"/>
          <w:b w:val="false"/>
          <w:i w:val="false"/>
          <w:color w:val="000000"/>
          <w:sz w:val="22"/>
        </w:rPr>
        <w:t xml:space="preserve"> are available through the department’s website or by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641—142.3</w:t>
      </w:r>
      <w:r>
        <w:rPr>
          <w:rFonts w:ascii="Times New Roman" w:hAnsi="Times New Roman"/>
          <w:b/>
          <w:i w:val="false"/>
          <w:color w:val="000000"/>
          <w:sz w:val="22"/>
        </w:rPr>
        <w:t xml:space="preserve">(144A,147A) </w:t>
      </w:r>
      <w:r>
        <w:rPr>
          <w:rFonts w:ascii="Times New Roman" w:hAnsi="Times New Roman"/>
          <w:b/>
          <w:i w:val="false"/>
          <w:color w:val="000000"/>
          <w:sz w:val="22"/>
        </w:rPr>
        <w:t xml:space="preserve">EMS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142.3(1)</w:t>
      </w:r>
      <w:r>
        <w:rPr>
          <w:rFonts w:ascii="Times New Roman" w:hAnsi="Times New Roman"/>
          <w:b w:val="false"/>
          <w:i w:val="false"/>
          <w:color w:val="000000"/>
          <w:sz w:val="22"/>
        </w:rPr>
        <w:t> </w:t>
      </w:r>
      <w:r>
        <w:rPr>
          <w:rFonts w:ascii="Times New Roman" w:hAnsi="Times New Roman"/>
          <w:b w:val="false"/>
          <w:i/>
          <w:color w:val="000000"/>
          <w:sz w:val="22"/>
        </w:rPr>
        <w:t xml:space="preserve">Uniform protocol. </w:t>
      </w:r>
      <w:r>
        <w:rPr>
          <w:rFonts w:ascii="Times New Roman" w:hAnsi="Times New Roman"/>
          <w:b w:val="false"/>
          <w:i w:val="false"/>
          <w:color w:val="000000"/>
          <w:sz w:val="22"/>
        </w:rPr>
        <w:t xml:space="preserve">EMS providers shall act in accordance with the department’s OOH DNR protocol when implementing an OOH DNR order. EMS service programs shall incorporate the OOH DNR protocol as part of their service protocols and, using educational materials consistent with the curriculum developed and approved by the department, shall inform and educate EMS providers on the protocol’s requirements as well as the requirements of Iowa Code chapter </w:t>
      </w:r>
      <w:hyperlink r:id="rId17">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the EMS provider. </w:t>
      </w:r>
      <w:r>
        <w:rPr>
          <w:rFonts w:ascii="Times New Roman" w:hAnsi="Times New Roman"/>
          <w:b w:val="false"/>
          <w:i w:val="false"/>
          <w:color w:val="000000"/>
          <w:sz w:val="22"/>
        </w:rPr>
        <w:t>The EMS provider responding outside a hospital as a member of a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patient’s status and needs through an assessment consistent with the provider’s training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an OOH DNR order or that the patient is wearing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Honor the OOH DNR order or OOH DNR identifier worn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Discontinue resuscitation if the OOH DNR order or OOH DNR identifier worn by the patient is discovered after resuscitation has begun.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 the OOH DNR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comfort care to the patient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Contact on-line medical direction for further instructions as necessary to provide appropriate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uncertainty exists regarding the validity or applicability of the OOH DNR order or identifier, the EMS provider shall provide the necessary and appropriate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Document compliance or noncompliance with the OOH DNR order and the reasons for not complying with the order, including evidence that the order was revoked or uncertainty regarding the validity or applicability of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641—142.4</w:t>
      </w:r>
      <w:r>
        <w:rPr>
          <w:rFonts w:ascii="Times New Roman" w:hAnsi="Times New Roman"/>
          <w:b/>
          <w:i w:val="false"/>
          <w:color w:val="000000"/>
          <w:sz w:val="22"/>
        </w:rPr>
        <w:t xml:space="preserve">(144A) </w:t>
      </w:r>
      <w:r>
        <w:rPr>
          <w:rFonts w:ascii="Times New Roman" w:hAnsi="Times New Roman"/>
          <w:b/>
          <w:i w:val="false"/>
          <w:color w:val="000000"/>
          <w:sz w:val="22"/>
        </w:rPr>
        <w:t xml:space="preserve">Guidelines for non-EMS health care providers, patients, and organizations. </w:t>
      </w:r>
      <w:r>
        <w:rPr>
          <w:rFonts w:ascii="Times New Roman" w:hAnsi="Times New Roman"/>
          <w:b w:val="false"/>
          <w:i w:val="false"/>
          <w:color w:val="000000"/>
          <w:sz w:val="22"/>
        </w:rPr>
        <w:t xml:space="preserve">In order to encourage understanding and implementation of OOH DNR orders and protocols throughout Iowa and honor a qualified patient’s wishes and intent regarding the provision of life-sustaining procedures in an out-of-hospital setting consistent with the requirements of Iowa Code chapter </w:t>
      </w:r>
      <w:hyperlink r:id="rId18">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the following guidelines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142.4(1)</w:t>
      </w:r>
      <w:r>
        <w:rPr>
          <w:rFonts w:ascii="Times New Roman" w:hAnsi="Times New Roman"/>
          <w:b w:val="false"/>
          <w:i w:val="false"/>
          <w:color w:val="000000"/>
          <w:sz w:val="22"/>
        </w:rPr>
        <w:t> </w:t>
      </w:r>
      <w:r>
        <w:rPr>
          <w:rFonts w:ascii="Times New Roman" w:hAnsi="Times New Roman"/>
          <w:b w:val="false"/>
          <w:i/>
          <w:color w:val="000000"/>
          <w:sz w:val="22"/>
        </w:rPr>
        <w:t xml:space="preserve">Attending physicians or attending physician assistants who issue OOH DNR orders. </w:t>
      </w:r>
      <w:r>
        <w:rPr>
          <w:rFonts w:ascii="Times New Roman" w:hAnsi="Times New Roman"/>
          <w:b w:val="false"/>
          <w:i w:val="false"/>
          <w:color w:val="000000"/>
          <w:sz w:val="22"/>
        </w:rPr>
        <w:t>The attending physician or attending physician assistant should ensure that the following are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that the patient is qualified because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an adult;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terminal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Explain to the patient or the individual legally authorized to act on the patient’s behalf the implications of an OOH DNR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qualified patient or individual legally authorized to act on the patient’s behalf decides that the patient should not be resuscitated, the attending physician or attending physician assistant may issue the OOH DNR order on the prescribed uniform order form. The order will direct health care providers to withhold or withdraw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to the qualified patient or the individual legally authorized to act on the patient’s behalf how the OOH DNR order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 copy of the order in the qualified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a copy of the order to the qualified patient or the individual legally authorized to act on the patient’s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142.4(2)</w:t>
      </w:r>
      <w:r>
        <w:rPr>
          <w:rFonts w:ascii="Times New Roman" w:hAnsi="Times New Roman"/>
          <w:b w:val="false"/>
          <w:i w:val="false"/>
          <w:color w:val="000000"/>
          <w:sz w:val="22"/>
        </w:rPr>
        <w:t> </w:t>
      </w:r>
      <w:r>
        <w:rPr>
          <w:rFonts w:ascii="Times New Roman" w:hAnsi="Times New Roman"/>
          <w:b w:val="false"/>
          <w:i/>
          <w:color w:val="000000"/>
          <w:sz w:val="22"/>
        </w:rPr>
        <w:t xml:space="preserve">Qualified patients or legally authorized persons. </w:t>
      </w:r>
      <w:r>
        <w:rPr>
          <w:rFonts w:ascii="Times New Roman" w:hAnsi="Times New Roman"/>
          <w:b w:val="false"/>
          <w:i w:val="false"/>
          <w:color w:val="000000"/>
          <w:sz w:val="22"/>
        </w:rPr>
        <w:t>A qualified patient or a person legally authorized to act on a qualified patient’s behalf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an informed decision concerning resuscitation in the face of a terminal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qualified patient’s family members are aware of this decision and inform them of the location of the OOH DNR order and the purpose of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 the process for revocation as described in rule </w:t>
      </w:r>
      <w:hyperlink r:id="rId19">
        <w:r>
          <w:rPr>
            <w:rStyle w:val="Hyperlink"/>
            <w:rFonts w:ascii="Times New Roman" w:hAnsi="Times New Roman"/>
            <w:b w:val="false"/>
            <w:i w:val="false"/>
            <w:color w:val="000000"/>
            <w:sz w:val="22"/>
          </w:rPr>
          <w:t>641—142.5</w:t>
        </w:r>
      </w:hyperlink>
      <w:r>
        <w:rPr>
          <w:rFonts w:ascii="Times New Roman" w:hAnsi="Times New Roman"/>
          <w:b w:val="false"/>
          <w:i w:val="false"/>
          <w:color w:val="000000"/>
          <w:sz w:val="22"/>
        </w:rPr>
        <w:t>(144A).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142.4(3)</w:t>
      </w:r>
      <w:r>
        <w:rPr>
          <w:rFonts w:ascii="Times New Roman" w:hAnsi="Times New Roman"/>
          <w:b w:val="false"/>
          <w:i w:val="false"/>
          <w:color w:val="000000"/>
          <w:sz w:val="22"/>
        </w:rPr>
        <w:t> </w:t>
      </w:r>
      <w:r>
        <w:rPr>
          <w:rFonts w:ascii="Times New Roman" w:hAnsi="Times New Roman"/>
          <w:b w:val="false"/>
          <w:i/>
          <w:color w:val="000000"/>
          <w:sz w:val="22"/>
        </w:rPr>
        <w:t xml:space="preserve">Non-EMS health care providers. </w:t>
      </w:r>
      <w:r>
        <w:rPr>
          <w:rFonts w:ascii="Times New Roman" w:hAnsi="Times New Roman"/>
          <w:b w:val="false"/>
          <w:i w:val="false"/>
          <w:color w:val="000000"/>
          <w:sz w:val="22"/>
        </w:rPr>
        <w:t>A non-EMS health care provider contemplating resuscitation for a patient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patient’s status and needs through an assessment consistent with the provider’s training, certification and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that the presenting condition is within the scope of the patient’s terminal condition and is not the result of a motor vehicle collision, fire, mass casualty or other cause of a sudden accident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an OOH DNR order or that the patient is wearing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Honor the OOH DNR order or OOH DNR identifier worn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Discontinue resuscitation if the OOH DNR order or OOH DNR identifier worn by the patient is discovered after resuscitation has begun.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comfort care to the patient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uncertainty exists regarding the validity or applicability of the OOH DNR order or identifier, the health care provider shall provide the necessary and appropriate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 compliance or noncompliance with the OOH DNR order and the reasons for not complying with the order, including evidence that the order was revoked or uncertainty regarding the validity or applicability of the order or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142.4(4)</w:t>
      </w:r>
      <w:r>
        <w:rPr>
          <w:rFonts w:ascii="Times New Roman" w:hAnsi="Times New Roman"/>
          <w:b w:val="false"/>
          <w:i w:val="false"/>
          <w:color w:val="000000"/>
          <w:sz w:val="22"/>
        </w:rPr>
        <w:t> </w:t>
      </w:r>
      <w:r>
        <w:rPr>
          <w:rFonts w:ascii="Times New Roman" w:hAnsi="Times New Roman"/>
          <w:b w:val="false"/>
          <w:i/>
          <w:color w:val="000000"/>
          <w:sz w:val="22"/>
        </w:rPr>
        <w:t xml:space="preserve">Hospitals. </w:t>
      </w:r>
      <w:r>
        <w:rPr>
          <w:rFonts w:ascii="Times New Roman" w:hAnsi="Times New Roman"/>
          <w:b w:val="false"/>
          <w:i w:val="false"/>
          <w:color w:val="000000"/>
          <w:sz w:val="22"/>
        </w:rPr>
        <w:t>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precluded from honoring an OOH DNR order entered in accordance with this chapter and in compliance with established hospital policies and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to avail itself of the immunities provided within Iowa Code chapter </w:t>
      </w:r>
      <w:hyperlink r:id="rId20">
        <w:r>
          <w:rPr>
            <w:rStyle w:val="Hyperlink"/>
            <w:rFonts w:ascii="Times New Roman" w:hAnsi="Times New Roman"/>
            <w:b w:val="false"/>
            <w:i w:val="false"/>
            <w:color w:val="000000"/>
            <w:sz w:val="22"/>
          </w:rPr>
          <w:t>142</w:t>
        </w:r>
      </w:hyperlink>
      <w:r>
        <w:rPr>
          <w:rFonts w:ascii="Times New Roman" w:hAnsi="Times New Roman"/>
          <w:b w:val="false"/>
          <w:i w:val="false"/>
          <w:color w:val="000000"/>
          <w:sz w:val="22"/>
        </w:rPr>
        <w:t>, establish such policies and protocols to address an OOH DNR order or identifier encountered on a person who presents to the emergency department or in any other area within the facility if the person presents as a patient or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Should integrate policies and procedures with the OOH DNR protocol for hospital-based ambulance service programs, if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142.4(5)</w:t>
      </w:r>
      <w:r>
        <w:rPr>
          <w:rFonts w:ascii="Times New Roman" w:hAnsi="Times New Roman"/>
          <w:b w:val="false"/>
          <w:i w:val="false"/>
          <w:color w:val="000000"/>
          <w:sz w:val="22"/>
        </w:rPr>
        <w:t> </w:t>
      </w:r>
      <w:r>
        <w:rPr>
          <w:rFonts w:ascii="Times New Roman" w:hAnsi="Times New Roman"/>
          <w:b w:val="false"/>
          <w:i/>
          <w:color w:val="000000"/>
          <w:sz w:val="22"/>
        </w:rPr>
        <w:t xml:space="preserve">Other health care organizations. </w:t>
      </w:r>
      <w:r>
        <w:rPr>
          <w:rFonts w:ascii="Times New Roman" w:hAnsi="Times New Roman"/>
          <w:b w:val="false"/>
          <w:i w:val="false"/>
          <w:color w:val="000000"/>
          <w:sz w:val="22"/>
        </w:rPr>
        <w:t>A nursing home, home health care agency, hospice, or other health care organization should establish policies and protocols consistent with these rules to address admitted patients who have OOH DNR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641—142.5</w:t>
      </w:r>
      <w:r>
        <w:rPr>
          <w:rFonts w:ascii="Times New Roman" w:hAnsi="Times New Roman"/>
          <w:b/>
          <w:i w:val="false"/>
          <w:color w:val="000000"/>
          <w:sz w:val="22"/>
        </w:rPr>
        <w:t xml:space="preserve">(144A) </w:t>
      </w:r>
      <w:r>
        <w:rPr>
          <w:rFonts w:ascii="Times New Roman" w:hAnsi="Times New Roman"/>
          <w:b/>
          <w:i w:val="false"/>
          <w:color w:val="000000"/>
          <w:sz w:val="22"/>
        </w:rPr>
        <w:t xml:space="preserve">Revocation of the out-of-hospital do-not-resuscitate order. </w:t>
      </w:r>
      <w:r>
        <w:rPr>
          <w:rFonts w:ascii="Times New Roman" w:hAnsi="Times New Roman"/>
          <w:b w:val="false"/>
          <w:i w:val="false"/>
          <w:color w:val="000000"/>
          <w:sz w:val="22"/>
        </w:rPr>
        <w:t>An OOH DNR order is deemed revoked at any time that a patient, or an individual authorized to act on the patient’s behalf as designated on the OOH DNR order, is able to communicate in any manner the intent that the order be revoked, without regard to the mental or physical condition of the patient. A revocation is only effective as to the health care provider upon communication to that provider by the patient, an individual authorized to act on the patient’s behalf as designated in the OOH DNR order, or by another person to whom the revocation is communicated by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641—142.6</w:t>
      </w:r>
      <w:r>
        <w:rPr>
          <w:rFonts w:ascii="Times New Roman" w:hAnsi="Times New Roman"/>
          <w:b/>
          <w:i w:val="false"/>
          <w:color w:val="000000"/>
          <w:sz w:val="22"/>
        </w:rPr>
        <w:t xml:space="preserve">(144A) </w:t>
      </w:r>
      <w:r>
        <w:rPr>
          <w:rFonts w:ascii="Times New Roman" w:hAnsi="Times New Roman"/>
          <w:b/>
          <w:i w:val="false"/>
          <w:color w:val="000000"/>
          <w:sz w:val="22"/>
        </w:rPr>
        <w:t xml:space="preserve">Personal wishes of family members or other individuals who are not authorized to act on the patient’s behalf. </w:t>
      </w:r>
      <w:r>
        <w:rPr>
          <w:rFonts w:ascii="Times New Roman" w:hAnsi="Times New Roman"/>
          <w:b w:val="false"/>
          <w:i w:val="false"/>
          <w:color w:val="000000"/>
          <w:sz w:val="22"/>
        </w:rPr>
        <w:t>The personal wishes of family members or other individuals who are not authorized in the order to act on the patient’s behalf cannot supersede a valid OOH DNR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641—142.7</w:t>
      </w:r>
      <w:r>
        <w:rPr>
          <w:rFonts w:ascii="Times New Roman" w:hAnsi="Times New Roman"/>
          <w:b/>
          <w:i w:val="false"/>
          <w:color w:val="000000"/>
          <w:sz w:val="22"/>
        </w:rPr>
        <w:t xml:space="preserve">(144A) </w:t>
      </w:r>
      <w:r>
        <w:rPr>
          <w:rFonts w:ascii="Times New Roman" w:hAnsi="Times New Roman"/>
          <w:b/>
          <w:i w:val="false"/>
          <w:color w:val="000000"/>
          <w:sz w:val="22"/>
        </w:rPr>
        <w:t xml:space="preserve">Transfer of patients.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142.7(1)</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attending physician or attending physician assistant who is unwilling to comply with an OOH DNR order or who is unwilling to comply with the provisions of Iowa Code section </w:t>
      </w:r>
      <w:hyperlink r:id="rId21">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shall take all reasonable steps to effect the transfer of the patient to another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policies of a hospital, nursing home, home health care agency, hospice or other health care organization preclude compliance with the OOH DNR order of a qualified patient, the provider shall take all reasonable steps to effect the transfer of the patient to an organization in which the provisions of Iowa Code section </w:t>
      </w:r>
      <w:hyperlink r:id="rId22">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can be carried 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641—142.8</w:t>
      </w:r>
      <w:r>
        <w:rPr>
          <w:rFonts w:ascii="Times New Roman" w:hAnsi="Times New Roman"/>
          <w:b/>
          <w:i w:val="false"/>
          <w:color w:val="000000"/>
          <w:sz w:val="22"/>
        </w:rPr>
        <w:t xml:space="preserve">(144A) </w:t>
      </w:r>
      <w:r>
        <w:rPr>
          <w:rFonts w:ascii="Times New Roman" w:hAnsi="Times New Roman"/>
          <w:b/>
          <w:i w:val="false"/>
          <w:color w:val="000000"/>
          <w:sz w:val="22"/>
        </w:rPr>
        <w:t xml:space="preserve">Application to existing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142.8(1)</w:t>
      </w:r>
      <w:r>
        <w:rPr>
          <w:rFonts w:ascii="Times New Roman" w:hAnsi="Times New Roman"/>
          <w:b w:val="false"/>
          <w:i w:val="false"/>
          <w:color w:val="000000"/>
          <w:sz w:val="22"/>
        </w:rPr>
        <w:t> </w:t>
      </w:r>
      <w:r>
        <w:rPr>
          <w:rFonts w:ascii="Times New Roman" w:hAnsi="Times New Roman"/>
          <w:b w:val="false"/>
          <w:i w:val="false"/>
          <w:color w:val="000000"/>
          <w:sz w:val="22"/>
        </w:rPr>
        <w:t>An OOH DNR order or similar order executed prior to September 10, 2003, is valid and shall be honored in accordance with the then-applicable provisions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142.8(2)</w:t>
      </w:r>
      <w:r>
        <w:rPr>
          <w:rFonts w:ascii="Times New Roman" w:hAnsi="Times New Roman"/>
          <w:b w:val="false"/>
          <w:i w:val="false"/>
          <w:color w:val="000000"/>
          <w:sz w:val="22"/>
        </w:rPr>
        <w:t> </w:t>
      </w:r>
      <w:r>
        <w:rPr>
          <w:rFonts w:ascii="Times New Roman" w:hAnsi="Times New Roman"/>
          <w:b w:val="false"/>
          <w:i w:val="false"/>
          <w:color w:val="000000"/>
          <w:sz w:val="22"/>
        </w:rPr>
        <w:t>Health care providers may honor an OOH DNR order or identifier from another state if it can be validated and applied in a manner consistent with the OOH DNR order or identifier prescribed in these rules. In cases where there is uncertainty, clarification should be sought through on-line medical direction or resuscitation efforts should be initiated.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147A.4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APPENDIX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Department of Health and Human Services</w:t>
      </w:r>
    </w:p>
    <w:p>
      <w:pPr>
        <w:spacing w:before="0" w:after="0"/>
        <w:ind w:left="120"/>
        <w:jc w:val="center"/>
      </w:pPr>
      <w:r>
        <w:rPr>
          <w:rFonts w:ascii="Times New Roman" w:hAnsi="Times New Roman"/>
          <w:b/>
          <w:i w:val="false"/>
          <w:color w:val="000000"/>
          <w:sz w:val="22"/>
        </w:rPr>
        <w:t>OUT-OF-HOSPITAL DO-NOT-RESUSCITATE ORDER</w:t>
      </w:r>
    </w:p>
    <w:p>
      <w:pPr>
        <w:spacing w:before="0" w:after="0"/>
        <w:ind w:left="120"/>
        <w:jc w:val="center"/>
      </w:pPr>
      <w:r>
        <w:rPr>
          <w:rFonts w:ascii="Times New Roman" w:hAnsi="Times New Roman"/>
          <w:b/>
          <w:i w:val="false"/>
          <w:color w:val="000000"/>
          <w:sz w:val="22"/>
        </w:rPr>
        <w:t>(Please type or print)</w:t>
      </w:r>
    </w:p>
    <w:p>
      <w:pPr>
        <w:spacing w:before="0" w:after="0"/>
        <w:ind w:left="120"/>
        <w:jc w:val="both"/>
      </w:pPr>
      <w:r>
        <w:rPr>
          <w:rFonts w:ascii="Times New Roman" w:hAnsi="Times New Roman"/>
          <w:b w:val="false"/>
          <w:i w:val="false"/>
          <w:color w:val="000000"/>
          <w:sz w:val="22"/>
        </w:rPr>
        <w:t>Date of Order: _____/_____/_____</w:t>
      </w:r>
    </w:p>
    <w:p>
      <w:pPr>
        <w:spacing w:before="0" w:after="0"/>
        <w:ind w:left="120"/>
        <w:jc w:val="both"/>
      </w:pPr>
      <w:r>
        <w:rPr>
          <w:rFonts w:ascii="Times New Roman" w:hAnsi="Times New Roman"/>
          <w:b w:val="false"/>
          <w:i w:val="false"/>
          <w:color w:val="000000"/>
          <w:sz w:val="22"/>
        </w:rPr>
        <w:t>Patient Information:</w:t>
      </w:r>
    </w:p>
    <w:p>
      <w:pPr>
        <w:spacing w:before="0" w:after="0"/>
        <w:ind w:left="120"/>
        <w:jc w:val="both"/>
      </w:pPr>
      <w:r>
        <w:rPr>
          <w:rFonts w:ascii="Times New Roman" w:hAnsi="Times New Roman"/>
          <w:b w:val="false"/>
          <w:i w:val="false"/>
          <w:color w:val="000000"/>
          <w:sz w:val="22"/>
        </w:rPr>
        <w:t>Name: (Last)____________________(First)____________________(Middle)__________________</w:t>
      </w:r>
    </w:p>
    <w:p>
      <w:pPr>
        <w:spacing w:before="0" w:after="0"/>
        <w:ind w:left="120"/>
        <w:jc w:val="both"/>
      </w:pPr>
      <w:r>
        <w:rPr>
          <w:rFonts w:ascii="Times New Roman" w:hAnsi="Times New Roman"/>
          <w:b w:val="false"/>
          <w:i w:val="false"/>
          <w:color w:val="000000"/>
          <w:sz w:val="22"/>
        </w:rPr>
        <w:t>Address: _____________________________(City)___________________(Zip)____________</w:t>
      </w:r>
    </w:p>
    <w:p>
      <w:pPr>
        <w:spacing w:before="0" w:after="0"/>
        <w:ind w:left="120"/>
        <w:jc w:val="both"/>
      </w:pPr>
      <w:r>
        <w:rPr>
          <w:rFonts w:ascii="Times New Roman" w:hAnsi="Times New Roman"/>
          <w:b w:val="false"/>
          <w:i w:val="false"/>
          <w:color w:val="000000"/>
          <w:sz w:val="22"/>
        </w:rPr>
        <w:t xml:space="preserve">Date of Birth: _____/_____/_____ </w:t>
      </w:r>
      <w:r>
        <w:rPr>
          <w:rFonts w:ascii="Times New Roman" w:hAnsi="Times New Roman"/>
          <w:b w:val="false"/>
          <w:i w:val="false"/>
          <w:color w:val="000000"/>
          <w:sz w:val="22"/>
        </w:rPr>
        <w:t>Sex (Circle): M or F</w:t>
      </w:r>
    </w:p>
    <w:p>
      <w:pPr>
        <w:spacing w:before="0" w:after="0"/>
        <w:ind w:left="120"/>
        <w:jc w:val="both"/>
      </w:pPr>
      <w:r>
        <w:rPr>
          <w:rFonts w:ascii="Times New Roman" w:hAnsi="Times New Roman"/>
          <w:b w:val="false"/>
          <w:i w:val="false"/>
          <w:color w:val="000000"/>
          <w:sz w:val="22"/>
        </w:rPr>
        <w:t xml:space="preserve">Name of Hospice or Care Facility (if applicable): </w:t>
      </w:r>
    </w:p>
    <w:p>
      <w:pPr>
        <w:spacing w:before="0" w:after="0"/>
        <w:ind w:left="120"/>
        <w:jc w:val="both"/>
      </w:pPr>
    </w:p>
    <w:p>
      <w:pPr>
        <w:spacing w:before="0" w:after="0"/>
        <w:ind w:left="120"/>
        <w:jc w:val="center"/>
      </w:pPr>
      <w:r>
        <w:rPr>
          <w:rFonts w:ascii="Times New Roman" w:hAnsi="Times New Roman"/>
          <w:b/>
          <w:i w:val="false"/>
          <w:color w:val="000000"/>
          <w:sz w:val="22"/>
          <w:u w:val="single"/>
        </w:rPr>
        <w:t>Attending Physician or Physician Assistant Order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As the attending physician or attending physician assistant for the above-named patient, I certify that this individual is over 18 years of age and has a terminal diagnosis. After consultation with this patient (or the patient’s legal representative), I hereby direct any and all health care providers, including qualified emergency medical services (EMS) personnel, to withhold or withdraw the following life-sustaining procedures in accordance with Iowa law (Iowa Code chapter </w:t>
      </w:r>
      <w:hyperlink r:id="rId25">
        <w:r>
          <w:rPr>
            <w:rStyle w:val="Hyperlink"/>
            <w:rFonts w:ascii="Times New Roman" w:hAnsi="Times New Roman"/>
            <w:b w:val="false"/>
            <w:i w:val="false"/>
            <w:color w:val="000000"/>
            <w:sz w:val="22"/>
          </w:rPr>
          <w:t>142A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Cardiopulmonary Resuscitation/Cardiac Compression (Chest Compressions).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Endotracheal Intubation/Artificial or Mechanical Ventilation (Advance Airway Management).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Defibrillation and Related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Resuscitation Drugs.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directive does NOT apply to other medical interventions for comfort care.</w:t>
      </w:r>
    </w:p>
    <w:p>
      <w:pPr>
        <w:spacing w:before="0" w:after="0"/>
        <w:ind w:left="120"/>
        <w:jc w:val="both"/>
      </w:pPr>
      <w:r>
        <w:rPr>
          <w:rFonts w:ascii="Times New Roman" w:hAnsi="Times New Roman"/>
          <w:b w:val="false"/>
          <w:i w:val="false"/>
          <w:color w:val="000000"/>
          <w:sz w:val="22"/>
        </w:rPr>
        <w:t> </w:t>
      </w:r>
    </w:p>
    <w:tbl>
      <w:tblPr>
        <w:tblW w:w="0" w:type="auto"/>
        <w:tblCellSpacing w:w="0" w:type="auto"/>
        <w:tblBorders>
          <w:top w:val="none"/>
          <w:left w:val="none"/>
          <w:bottom w:val="none"/>
          <w:right w:val="none"/>
          <w:insideH w:val="none"/>
          <w:insideV w:val="none"/>
        </w:tblBorders>
        <w:tblLayout w:type="fixed"/>
      </w:tblPr>
      <w:tblGrid>
        <w:gridCol w:w="6267"/>
        <w:gridCol w:w="400"/>
        <w:gridCol w:w="4800"/>
      </w:tblGrid>
      <w:tr>
        <w:trPr>
          <w:trHeight w:val="270" w:hRule="atLeast"/>
        </w:trPr>
        <w:tc>
          <w:tcPr>
            <w:tcW w:w="6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______/______/______</w:t>
            </w:r>
          </w:p>
        </w:tc>
      </w:tr>
      <w:tr>
        <w:trPr>
          <w:trHeight w:val="525"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Signature of Attending Physician (MD, DO) or Attending Physician Assistant</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Date</w:t>
            </w:r>
          </w:p>
        </w:tc>
      </w:tr>
      <w:tr>
        <w:trPr>
          <w:trHeight w:val="270"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(______)_____-_______</w:t>
            </w:r>
          </w:p>
        </w:tc>
      </w:tr>
      <w:tr>
        <w:trPr>
          <w:trHeight w:val="525"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u w:val="single"/>
              </w:rPr>
              <w:t>Printed</w:t>
            </w:r>
            <w:r>
              <w:rPr>
                <w:rFonts w:ascii="Times New Roman" w:hAnsi="Times New Roman"/>
                <w:b/>
                <w:i w:val="false"/>
                <w:color w:val="000000"/>
                <w:sz w:val="21"/>
              </w:rPr>
              <w:t xml:space="preserve"> Name of Attending Physician or Attending Physician Assistant</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Physician’s or Physician Assistant’s Telephone (Emergency)</w:t>
            </w: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To the extent that it is possible, a person designated by the patient may revoke this order on the patient’s behalf. If the patient wishes to authorize any other person(s) to revoke this order, the patient </w:t>
      </w:r>
      <w:r>
        <w:rPr>
          <w:rFonts w:ascii="Times New Roman" w:hAnsi="Times New Roman"/>
          <w:b/>
          <w:i w:val="false"/>
          <w:color w:val="000000"/>
          <w:sz w:val="22"/>
          <w:u w:val="single"/>
        </w:rPr>
        <w:t>MUST</w:t>
      </w:r>
      <w:r>
        <w:rPr>
          <w:rFonts w:ascii="Times New Roman" w:hAnsi="Times New Roman"/>
          <w:b/>
          <w:i w:val="false"/>
          <w:color w:val="000000"/>
          <w:sz w:val="22"/>
        </w:rPr>
        <w:t xml:space="preserve"> list those persons’ names below:</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Patients, please note</w:t>
      </w:r>
      <w:r>
        <w:rPr>
          <w:rFonts w:ascii="Times New Roman" w:hAnsi="Times New Roman"/>
          <w:b/>
          <w:i w:val="false"/>
          <w:color w:val="000000"/>
          <w:sz w:val="22"/>
        </w:rPr>
        <w:t xml:space="preserve">: </w:t>
      </w:r>
      <w:r>
        <w:rPr>
          <w:rFonts w:ascii="Times New Roman" w:hAnsi="Times New Roman"/>
          <w:b w:val="false"/>
          <w:i w:val="false"/>
          <w:color w:val="000000"/>
          <w:sz w:val="22"/>
        </w:rPr>
        <w:t>Directions for obtaining a uniform identifier are listed on the back of this form. The uniform identifier is the key way the health care provider and/or EMS personnel can quickly recognize that you have an Out-of-Hospital Do-Not-Resuscitate order. If you are not wearing an identifier, the health care provider and/or EMS personnel may not realize that you do not want to be resuscitated.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Physicians or physician assistants, please note</w:t>
      </w:r>
      <w:r>
        <w:rPr>
          <w:rFonts w:ascii="Times New Roman" w:hAnsi="Times New Roman"/>
          <w:b/>
          <w:i w:val="false"/>
          <w:color w:val="000000"/>
          <w:sz w:val="22"/>
        </w:rPr>
        <w:t>:</w:t>
      </w:r>
      <w:r>
        <w:rPr>
          <w:rFonts w:ascii="Times New Roman" w:hAnsi="Times New Roman"/>
          <w:b w:val="false"/>
          <w:i w:val="false"/>
          <w:color w:val="000000"/>
          <w:sz w:val="22"/>
        </w:rPr>
        <w:t xml:space="preserve"> Information regarding the completion of an Out-of-Hospital Do-Not-Resuscitate order is on the back of this form.</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APPENDIX 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Directions for obtaining a uniform identifier</w:t>
      </w:r>
      <w:r>
        <w:rPr>
          <w:rFonts w:ascii="Times New Roman" w:hAnsi="Times New Roman"/>
          <w:b/>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uniform identifier may be obtained through MedicAlert®</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which requires: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u w:val="single"/>
        </w:rPr>
        <w:t>A completed MedicAlert® application</w:t>
      </w:r>
      <w:r>
        <w:rPr>
          <w:rFonts w:ascii="Times New Roman" w:hAnsi="Times New Roman"/>
          <w:b w:val="false"/>
          <w:i w:val="false"/>
          <w:color w:val="000000"/>
          <w:sz w:val="22"/>
        </w:rPr>
        <w:t>, which is available in physician or physician assistant offices or through MedicAlert® by phoning (800)432-5378 or the website </w:t>
      </w:r>
      <w:hyperlink r:id="rId26">
        <w:r>
          <w:rPr>
            <w:rStyle w:val="Hyperlink"/>
            <w:rFonts w:ascii="Times New Roman" w:hAnsi="Times New Roman"/>
            <w:b w:val="false"/>
            <w:i w:val="false"/>
            <w:color w:val="000000"/>
            <w:sz w:val="22"/>
            <w:u w:val="single"/>
          </w:rPr>
          <w:t>www.medicalert.org</w:t>
        </w:r>
      </w:hyperlink>
      <w:r>
        <w:rPr>
          <w:rFonts w:ascii="Times New Roman" w:hAnsi="Times New Roman"/>
          <w:b w:val="false"/>
          <w:i w:val="false"/>
          <w:color w:val="000000"/>
          <w:sz w:val="22"/>
        </w:rPr>
        <w:t xml:space="preserve">, </w:t>
      </w:r>
      <w:r>
        <w:rPr>
          <w:rFonts w:ascii="Times New Roman" w:hAnsi="Times New Roman"/>
          <w:b w:val="false"/>
          <w:i w:val="false"/>
          <w:color w:val="000000"/>
          <w:sz w:val="22"/>
          <w:u w:val="single"/>
        </w:rPr>
        <w:t>and fee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u w:val="single"/>
        </w:rPr>
        <w:t>A copy of this completed OOH DNR order</w:t>
      </w:r>
      <w:r>
        <w:rPr>
          <w:rFonts w:ascii="Times New Roman" w:hAnsi="Times New Roman"/>
          <w:b w:val="false"/>
          <w:i w:val="false"/>
          <w:color w:val="000000"/>
          <w:sz w:val="22"/>
        </w:rPr>
        <w:t xml:space="preserve">, which must accompany the </w:t>
      </w:r>
      <w:r>
        <w:rPr>
          <w:rFonts w:ascii="Times New Roman" w:hAnsi="Times New Roman"/>
          <w:b w:val="false"/>
          <w:i w:val="false"/>
          <w:color w:val="000000"/>
          <w:sz w:val="22"/>
          <w:u w:val="single"/>
        </w:rPr>
        <w:t>MedicAlert®</w:t>
      </w:r>
      <w:r>
        <w:rPr>
          <w:rFonts w:ascii="Times New Roman" w:hAnsi="Times New Roman"/>
          <w:b w:val="false"/>
          <w:i w:val="false"/>
          <w:color w:val="000000"/>
          <w:sz w:val="22"/>
        </w:rPr>
        <w:t xml:space="preserve"> application or be sent to MedicAlert® prior to the identifier’s being mailed.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18"/>
          <w:vertAlign w:val="superscript"/>
        </w:rPr>
        <w:t>1</w:t>
      </w:r>
      <w:r>
        <w:rPr>
          <w:rFonts w:ascii="Times New Roman" w:hAnsi="Times New Roman"/>
          <w:b w:val="false"/>
          <w:i/>
          <w:color w:val="000000"/>
          <w:sz w:val="22"/>
        </w:rPr>
        <w:t>MedicAlert® is a nonprofit 501C membership organization.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Suggested guidelines for physicians or physician assistants</w:t>
      </w:r>
      <w:r>
        <w:rPr>
          <w:rFonts w:ascii="Times New Roman" w:hAnsi="Times New Roman"/>
          <w:b/>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Please review the Iowa Out-of-Hospital Do-Not-Resuscitate order and related protocol with the patient/patient’s legal representative(s). The following points may be helpful: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Patient/patient’s legal representative(s) listed on this order must understand the significance of this order, that in the event the patient’s heart or breathing stops or malfunctions, the anticipated result of this order is death.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Patient/patient’s legal representative(s) listed on this order may revoke this directive at any time. However, the desire to revoke must be communicated to the EMS or other health care professionals at the scene.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It is important to emphasize that this order does not apply to medical interventions to make the patient more comfortable.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importance of wearing the uniform identifier for those qualified patients who would benefit from the mobility this offers should be stressed. It is also helpful to walk patients through the process they must follow to acquire the identifier.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a copy of this order to the patient/patient’s legal representative(s) listed on this order and place the original in the patient’s medical records.</w:t>
      </w:r>
      <w:r>
        <w:br/>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The OOH DNR Order form is available through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7550B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APPENDIX B</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EMS OUT-OF-HOSPITAL DO-NOT-RESUSCITATE PROTOCOL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Purpose:</w:t>
      </w:r>
      <w:r>
        <w:rPr>
          <w:rFonts w:ascii="Times New Roman" w:hAnsi="Times New Roman"/>
          <w:b w:val="false"/>
          <w:i w:val="false"/>
          <w:color w:val="000000"/>
          <w:sz w:val="22"/>
        </w:rPr>
        <w:t xml:space="preserve"> This protocol is intended to avoid unwarranted resuscitation by emergency care providers in the out-of-hospital setting for a </w:t>
      </w:r>
      <w:r>
        <w:rPr>
          <w:rFonts w:ascii="Times New Roman" w:hAnsi="Times New Roman"/>
          <w:b w:val="false"/>
          <w:i/>
          <w:color w:val="000000"/>
          <w:sz w:val="22"/>
        </w:rPr>
        <w:t>qualified patient</w:t>
      </w:r>
      <w:r>
        <w:rPr>
          <w:rFonts w:ascii="Times New Roman" w:hAnsi="Times New Roman"/>
          <w:b w:val="false"/>
          <w:i w:val="false"/>
          <w:color w:val="000000"/>
          <w:sz w:val="22"/>
        </w:rPr>
        <w:t>.</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22"/>
        </w:rPr>
        <w:t>There must be a valid Out-of-Hospital Do-Not-Resuscitate (OOH DNR) order signed by the qualified patient’s attending physician or physician assistant or the presence of the OOH DNR identifier indicating the existence of a valid OOH DNR order.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No resuscitation:</w:t>
      </w:r>
      <w:r>
        <w:rPr>
          <w:rFonts w:ascii="Times New Roman" w:hAnsi="Times New Roman"/>
          <w:b w:val="false"/>
          <w:i w:val="false"/>
          <w:color w:val="000000"/>
          <w:sz w:val="22"/>
        </w:rPr>
        <w:t xml:space="preserve"> Means withholding any medical intervention that utilizes mechanical or artificial means to sustain, restore, or supplant a spontaneous vital function,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Chest compressions,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Defibrillation,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Esophageal/tracheal/double-lumen airway; endotracheal intubation,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Emergency drugs to alter cardiac or respiratory function or otherwise sustain life.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Patient criteria:</w:t>
      </w:r>
      <w:r>
        <w:rPr>
          <w:rFonts w:ascii="Times New Roman" w:hAnsi="Times New Roman"/>
          <w:b w:val="false"/>
          <w:i w:val="false"/>
          <w:color w:val="000000"/>
          <w:sz w:val="22"/>
        </w:rPr>
        <w:t xml:space="preserve"> The following patients are recognized as qualified patients to receive no resuscitation: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the uniform OOH DNR order or uniform OOH DNR identifier,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presence of the attending physician or attending physician assistant to provide direct verbal orders for care of the patient.</w:t>
      </w:r>
    </w:p>
    <w:p>
      <w:pPr>
        <w:spacing w:before="0" w:after="0"/>
        <w:ind w:left="120"/>
        <w:jc w:val="both"/>
      </w:pPr>
      <w:r>
        <w:rPr>
          <w:rFonts w:ascii="Times New Roman" w:hAnsi="Times New Roman"/>
          <w:b w:val="false"/>
          <w:i w:val="false"/>
          <w:color w:val="000000"/>
          <w:sz w:val="22"/>
        </w:rPr>
        <w:t> </w:t>
      </w:r>
    </w:p>
    <w:p>
      <w:pPr>
        <w:spacing w:before="0" w:after="0"/>
        <w:ind w:left="324"/>
        <w:jc w:val="both"/>
      </w:pPr>
      <w:r>
        <w:rPr>
          <w:rFonts w:ascii="Times New Roman" w:hAnsi="Times New Roman"/>
          <w:b w:val="false"/>
          <w:i/>
          <w:color w:val="000000"/>
          <w:sz w:val="22"/>
        </w:rPr>
        <w:t>The presence of a signed physician or physician assistant order on a form other than the uniform OOH DNR order form approved by the department may be honored if approved by the service program EMS medical director. However, the immunities provided by law apply only in the presence of the uniform OOH DNR order or uniform OOH DNR identifier. When the uniform OOH DNR order or uniform OOH DNR identifier is not present, contact must be made with on-line medical control and on-line medical control must concur that no resuscitation is appropriate.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Revocation:</w:t>
      </w:r>
      <w:r>
        <w:rPr>
          <w:rFonts w:ascii="Times New Roman" w:hAnsi="Times New Roman"/>
          <w:b w:val="false"/>
          <w:i w:val="false"/>
          <w:color w:val="000000"/>
          <w:sz w:val="22"/>
        </w:rPr>
        <w:t xml:space="preserve"> An OOH DNR order is deemed revoked at any time that a patient, or an individual authorized to act on the patient’s behalf as listed on the OOH DNR order, is able to communicate in any manner the intent that the order be revoked. The personal wishes of family members or other individuals who are not authorized in the order to act on the patient’s behalf shall not supersede a valid OOH DNR order.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Comfort Care (♥):</w:t>
      </w:r>
      <w:r>
        <w:rPr>
          <w:rFonts w:ascii="Times New Roman" w:hAnsi="Times New Roman"/>
          <w:b w:val="false"/>
          <w:i w:val="false"/>
          <w:color w:val="000000"/>
          <w:sz w:val="22"/>
        </w:rPr>
        <w:t xml:space="preserve"> When a patient has met the criteria for no resuscitation under the foregoing information, the emergency care provider </w:t>
      </w:r>
      <w:r>
        <w:rPr>
          <w:rFonts w:ascii="Times New Roman" w:hAnsi="Times New Roman"/>
          <w:b w:val="false"/>
          <w:i w:val="false"/>
          <w:color w:val="000000"/>
          <w:sz w:val="22"/>
          <w:u w:val="single"/>
        </w:rPr>
        <w:t xml:space="preserve">should continue to provide that care which is intended to make the patient comfortable (a.k.a. </w:t>
      </w:r>
      <w:r>
        <w:rPr>
          <w:rFonts w:ascii="Times New Roman" w:hAnsi="Times New Roman"/>
          <w:b/>
          <w:i w:val="false"/>
          <w:color w:val="000000"/>
          <w:sz w:val="22"/>
        </w:rPr>
        <w:t>♥</w:t>
      </w:r>
      <w:r>
        <w:rPr>
          <w:rFonts w:ascii="Times New Roman" w:hAnsi="Times New Roman"/>
          <w:b/>
          <w:i w:val="false"/>
          <w:color w:val="000000"/>
          <w:sz w:val="22"/>
        </w:rPr>
        <w:t>Comfort Care</w:t>
      </w:r>
      <w:r>
        <w:rPr>
          <w:rFonts w:ascii="Times New Roman" w:hAnsi="Times New Roman"/>
          <w:b w:val="false"/>
          <w:i w:val="false"/>
          <w:color w:val="000000"/>
          <w:sz w:val="22"/>
          <w:u w:val="single"/>
        </w:rPr>
        <w:t>)</w:t>
      </w:r>
      <w:r>
        <w:rPr>
          <w:rFonts w:ascii="Times New Roman" w:hAnsi="Times New Roman"/>
          <w:b w:val="false"/>
          <w:i w:val="false"/>
          <w:color w:val="000000"/>
          <w:sz w:val="22"/>
        </w:rPr>
        <w:t>. Whether other types of care are indicated will depend upon individual circumstances for which medical control may be contacted by or through the responding ambulance service personnel.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w:t>
      </w:r>
      <w:r>
        <w:rPr>
          <w:rFonts w:ascii="Times New Roman" w:hAnsi="Times New Roman"/>
          <w:b/>
          <w:i/>
          <w:color w:val="000000"/>
          <w:sz w:val="22"/>
        </w:rPr>
        <w:t>Comfort Care</w:t>
      </w:r>
      <w:r>
        <w:rPr>
          <w:rFonts w:ascii="Times New Roman" w:hAnsi="Times New Roman"/>
          <w:b w:val="false"/>
          <w:i w:val="false"/>
          <w:color w:val="000000"/>
          <w:sz w:val="22"/>
          <w:u w:val="single"/>
        </w:rPr>
        <w:t> </w:t>
      </w:r>
      <w:r>
        <w:rPr>
          <w:rFonts w:ascii="Times New Roman" w:hAnsi="Times New Roman"/>
          <w:b w:val="false"/>
          <w:i/>
          <w:color w:val="000000"/>
          <w:sz w:val="22"/>
        </w:rPr>
        <w:t>may include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Pain medication.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Fluid therapy.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Respiratory assistance (oxygen and suctioning).</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color w:val="000000"/>
          <w:sz w:val="22"/>
        </w:rPr>
        <w:t>Qualified patient</w:t>
      </w:r>
      <w:r>
        <w:rPr>
          <w:rFonts w:ascii="Times New Roman" w:hAnsi="Times New Roman"/>
          <w:b w:val="false"/>
          <w:i w:val="false"/>
          <w:color w:val="000000"/>
          <w:sz w:val="22"/>
        </w:rPr>
        <w:t xml:space="preserve"> means an adult patient determined by an attending physician or attending physician assistant to be in a terminal condition for which the attending physician or attending physician assistant has issued an Out-of-Hospital DNR order in accordance with the law. (Rule </w:t>
      </w:r>
      <w:hyperlink r:id="rId27">
        <w:r>
          <w:rPr>
            <w:rStyle w:val="Hyperlink"/>
            <w:rFonts w:ascii="Times New Roman" w:hAnsi="Times New Roman"/>
            <w:b w:val="false"/>
            <w:i w:val="false"/>
            <w:color w:val="000000"/>
            <w:sz w:val="22"/>
          </w:rPr>
          <w:t>641—142.1(144A)</w:t>
        </w:r>
      </w:hyperlink>
      <w:r>
        <w:rPr>
          <w:rFonts w:ascii="Times New Roman" w:hAnsi="Times New Roman"/>
          <w:b w:val="false"/>
          <w:i w:val="false"/>
          <w:color w:val="000000"/>
          <w:sz w:val="22"/>
        </w:rPr>
        <w:t>, definitions)</w:t>
      </w:r>
    </w:p>
    <w:p>
      <w:pPr>
        <w:spacing w:before="0" w:after="0"/>
        <w:ind w:left="120"/>
        <w:jc w:val="center"/>
      </w:pPr>
      <w:r>
        <w:rPr>
          <w:rFonts w:ascii="Times New Roman" w:hAnsi="Times New Roman"/>
          <w:b w:val="false"/>
          <w:i w:val="false"/>
          <w:color w:val="000000"/>
          <w:sz w:val="21"/>
        </w:rPr>
        <w:t>[Filed 7/18/03, Notice 5/28/03—published 8/6/03, effective 9/10/03]</w:t>
      </w:r>
    </w:p>
    <w:p>
      <w:pPr>
        <w:spacing w:before="0" w:after="0"/>
        <w:ind w:left="120"/>
        <w:jc w:val="center"/>
      </w:pPr>
      <w:r>
        <w:rPr>
          <w:rFonts w:ascii="Times New Roman" w:hAnsi="Times New Roman"/>
          <w:b w:val="false"/>
          <w:i w:val="false"/>
          <w:color w:val="000000"/>
          <w:sz w:val="21"/>
        </w:rPr>
        <w:t>[Filed ARC 7550B</w:t>
      </w:r>
      <w:r>
        <w:rPr>
          <w:rFonts w:ascii="Times New Roman" w:hAnsi="Times New Roman"/>
          <w:b w:val="false"/>
          <w:i w:val="false"/>
          <w:color w:val="000000"/>
          <w:sz w:val="21"/>
        </w:rPr>
        <w:t xml:space="preserve"> (Notice ARC 7357B,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9081C</w:t>
      </w:r>
      <w:r>
        <w:rPr>
          <w:rFonts w:ascii="Times New Roman" w:hAnsi="Times New Roman"/>
          <w:b w:val="false"/>
          <w:i w:val="false"/>
          <w:color w:val="000000"/>
          <w:sz w:val="21"/>
        </w:rPr>
        <w:t xml:space="preserve"> (Notice ARC 8463C, IAB 12/25/24)</w:t>
      </w:r>
      <w:r>
        <w:rPr>
          <w:rFonts w:ascii="Times New Roman" w:hAnsi="Times New Roman"/>
          <w:b w:val="false"/>
          <w:i w:val="false"/>
          <w:color w:val="000000"/>
          <w:sz w:val="21"/>
        </w:rPr>
        <w:t>, IAB 4/2/25, effective 6/1/25]</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sectPr>
      <w:footerReference r:id="rId28"/>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1.pdf" Type="http://schemas.openxmlformats.org/officeDocument/2006/relationships/hyperlink" Id="rId5"/>
    <Relationship TargetMode="External" Target="https://www.legis.iowa.gov/docs/ico/chapter/135B.1.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4A.7A.pdf" Type="http://schemas.openxmlformats.org/officeDocument/2006/relationships/hyperlink" Id="rId8"/>
    <Relationship TargetMode="External" Target="https://www.legis.iowa.gov/docs/ico/chapter/144A.2.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144A.2.pdf" Type="http://schemas.openxmlformats.org/officeDocument/2006/relationships/hyperlink" Id="rId12"/>
    <Relationship TargetMode="External" Target="https://www.legis.iowa.gov/docs/ico/chapter/152.pdf" Type="http://schemas.openxmlformats.org/officeDocument/2006/relationships/hyperlink" Id="rId13"/>
    <Relationship TargetMode="External" Target="https://www.legis.iowa.gov/docs/ico/chapter/148.pdf" Type="http://schemas.openxmlformats.org/officeDocument/2006/relationships/hyperlink" Id="rId14"/>
    <Relationship TargetMode="External" Target="https://www.legis.iowa.gov/docs/iac/rule/641.142.3.pdf" Type="http://schemas.openxmlformats.org/officeDocument/2006/relationships/hyperlink" Id="rId15"/>
    <Relationship TargetMode="External" Target="https://www.legis.iowa.gov/docs/iac/rule/641.142.3.pdf" Type="http://schemas.openxmlformats.org/officeDocument/2006/relationships/hyperlink" Id="rId16"/>
    <Relationship TargetMode="External" Target="https://www.legis.iowa.gov/docs/ico/chapter/144A.pdf" Type="http://schemas.openxmlformats.org/officeDocument/2006/relationships/hyperlink" Id="rId17"/>
    <Relationship TargetMode="External" Target="https://www.legis.iowa.gov/docs/ico/chapter/144A.pdf" Type="http://schemas.openxmlformats.org/officeDocument/2006/relationships/hyperlink" Id="rId18"/>
    <Relationship TargetMode="External" Target="https://www.legis.iowa.gov/docs/iac/rule/641.142.5.pdf" Type="http://schemas.openxmlformats.org/officeDocument/2006/relationships/hyperlink" Id="rId19"/>
    <Relationship TargetMode="External" Target="https://www.legis.iowa.gov/docs/ico/chapter/142.pdf" Type="http://schemas.openxmlformats.org/officeDocument/2006/relationships/hyperlink" Id="rId20"/>
    <Relationship TargetMode="External" Target="https://www.legis.iowa.gov/docs/ico/chapter/144A.7A.pdf" Type="http://schemas.openxmlformats.org/officeDocument/2006/relationships/hyperlink" Id="rId21"/>
    <Relationship TargetMode="External" Target="https://www.legis.iowa.gov/docs/ico/chapter/144A.7A.pdf" Type="http://schemas.openxmlformats.org/officeDocument/2006/relationships/hyperlink" Id="rId22"/>
    <Relationship TargetMode="External" Target="https://www.legis.iowa.gov/docs/ico/chapter/144A.7A.pdf" Type="http://schemas.openxmlformats.org/officeDocument/2006/relationships/hyperlink" Id="rId23"/>
    <Relationship TargetMode="External" Target="https://www.legis.iowa.gov/docs/ico/chapter/147A.4.pdf" Type="http://schemas.openxmlformats.org/officeDocument/2006/relationships/hyperlink" Id="rId24"/>
    <Relationship TargetMode="External" Target="https://www.legis.iowa.gov/docs/ico/chapter/142A.pdf" Type="http://schemas.openxmlformats.org/officeDocument/2006/relationships/hyperlink" Id="rId25"/>
    <Relationship TargetMode="External" Target="http://www.medicalert.org" Type="http://schemas.openxmlformats.org/officeDocument/2006/relationships/hyperlink" Id="rId26"/>
    <Relationship TargetMode="External" Target="https://www.legis.iowa.gov/docs/iac/rule/641.142.1.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