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127</w:t>
      </w:r>
    </w:p>
    <w:p>
      <w:pPr>
        <w:spacing w:before="0" w:after="0"/>
        <w:ind w:left="120"/>
        <w:jc w:val="center"/>
      </w:pPr>
      <w:r>
        <w:rPr>
          <w:rFonts w:ascii="Times New Roman" w:hAnsi="Times New Roman"/>
          <w:b w:val="false"/>
          <w:i w:val="false"/>
          <w:color w:val="000000"/>
          <w:sz w:val="21"/>
        </w:rPr>
        <w:t>COUNTY MEDICAL EXAMINERS</w:t>
      </w:r>
    </w:p>
    <w:p>
      <w:pPr>
        <w:spacing w:before="0" w:after="0"/>
        <w:ind w:left="120"/>
        <w:jc w:val="center"/>
      </w:pPr>
      <w:r>
        <w:rPr>
          <w:rFonts w:ascii="Times New Roman" w:hAnsi="Times New Roman"/>
          <w:b w:val="false"/>
          <w:i w:val="false"/>
          <w:color w:val="000000"/>
          <w:sz w:val="14"/>
        </w:rPr>
        <w:t>[Prior to 7/29/87, Health Department [470] Ch 127]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4/1/31</w:t>
      </w:r>
    </w:p>
    <w:p>
      <w:pPr>
        <w:spacing w:before="0" w:after="0"/>
        <w:ind w:left="120"/>
        <w:jc w:val="both"/>
      </w:pPr>
      <w:r>
        <w:rPr>
          <w:rFonts w:ascii="Times New Roman" w:hAnsi="Times New Roman"/>
          <w:b/>
          <w:i w:val="false"/>
          <w:color w:val="000000"/>
          <w:sz w:val="22"/>
        </w:rPr>
        <w:t>641—127.1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“Autopsy”</w:t>
      </w:r>
      <w:r>
        <w:rPr>
          <w:rFonts w:ascii="Times New Roman" w:hAnsi="Times New Roman"/>
          <w:b w:val="false"/>
          <w:i w:val="false"/>
          <w:color w:val="000000"/>
          <w:sz w:val="22"/>
        </w:rPr>
        <w:t>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“Cause of death”</w:t>
      </w:r>
      <w:r>
        <w:rPr>
          <w:rFonts w:ascii="Times New Roman" w:hAnsi="Times New Roman"/>
          <w:b w:val="false"/>
          <w:i w:val="false"/>
          <w:color w:val="000000"/>
          <w:sz w:val="22"/>
        </w:rPr>
        <w:t> </w:t>
      </w:r>
      <w:r>
        <w:rPr>
          <w:rFonts w:ascii="Times New Roman" w:hAnsi="Times New Roman"/>
          <w:b w:val="false"/>
          <w:i w:val="false"/>
          <w:color w:val="000000"/>
          <w:sz w:val="22"/>
        </w:rPr>
        <w:t>means the disease or injury that sets in motion the chain of events that eventually results in the death of a person. The physician shall consider “but for” this injury or disease the person would still be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a medical or osteopathic physician or surgeon licensed in the state of Iowa and appointed by the board of supervisors to serve in this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 investigator”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“CME-I”</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serve under the supervision of a county medical examiner to assist in death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of appointment”</w:t>
      </w:r>
      <w:r>
        <w:rPr>
          <w:rFonts w:ascii="Times New Roman" w:hAnsi="Times New Roman"/>
          <w:b w:val="false"/>
          <w:i w:val="false"/>
          <w:color w:val="000000"/>
          <w:sz w:val="22"/>
        </w:rPr>
        <w:t> </w:t>
      </w:r>
      <w:r>
        <w:rPr>
          <w:rFonts w:ascii="Times New Roman" w:hAnsi="Times New Roman"/>
          <w:b w:val="false"/>
          <w:i w:val="false"/>
          <w:color w:val="000000"/>
          <w:sz w:val="22"/>
        </w:rPr>
        <w:t>means the county that requests a medical examiner to conduct an investigation, perform or order an autopsy, or prepare a report(s) in a death investigation case. The request may be authorized by the county attorney or the county medical examiner. The county of appointment shall be the county in which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means the technical process, using heat and flame, that reduces human remains to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permit”</w:t>
      </w:r>
      <w:r>
        <w:rPr>
          <w:rFonts w:ascii="Times New Roman" w:hAnsi="Times New Roman"/>
          <w:b w:val="false"/>
          <w:i w:val="false"/>
          <w:color w:val="000000"/>
          <w:sz w:val="22"/>
        </w:rPr>
        <w:t> </w:t>
      </w:r>
      <w:r>
        <w:rPr>
          <w:rFonts w:ascii="Times New Roman" w:hAnsi="Times New Roman"/>
          <w:b w:val="false"/>
          <w:i w:val="false"/>
          <w:color w:val="000000"/>
          <w:sz w:val="22"/>
        </w:rPr>
        <w:t>means an electronic cremation permit approved by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described in Iowa Code section </w:t>
      </w:r>
      <w:hyperlink r:id="rId5">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 affecting the public interest”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death of a human being in which the circumstances are sudden, unexpected, violent, suspicious, or unattended, including but not limited to those deaths listed in Iowa Code sections </w:t>
      </w:r>
      <w:hyperlink r:id="rId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“Deputy 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“DCME”</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assist the county medical examiner in the performance of the county medical examiner’s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w:t>
      </w:r>
      <w:r>
        <w:rPr>
          <w:rFonts w:ascii="Times New Roman" w:hAnsi="Times New Roman"/>
          <w:b w:val="false"/>
          <w:i w:val="false"/>
          <w:color w:val="000000"/>
          <w:sz w:val="22"/>
        </w:rPr>
        <w:t> </w:t>
      </w:r>
      <w:r>
        <w:rPr>
          <w:rFonts w:ascii="Times New Roman" w:hAnsi="Times New Roman"/>
          <w:b w:val="false"/>
          <w:i w:val="false"/>
          <w:color w:val="000000"/>
          <w:sz w:val="22"/>
        </w:rPr>
        <w:t>means the electronic medical examiner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examination”</w:t>
      </w:r>
      <w:r>
        <w:rPr>
          <w:rFonts w:ascii="Times New Roman" w:hAnsi="Times New Roman"/>
          <w:b w:val="false"/>
          <w:i w:val="false"/>
          <w:color w:val="000000"/>
          <w:sz w:val="22"/>
        </w:rPr>
        <w:t> </w:t>
      </w:r>
      <w:r>
        <w:rPr>
          <w:rFonts w:ascii="Times New Roman" w:hAnsi="Times New Roman"/>
          <w:b w:val="false"/>
          <w:i w:val="false"/>
          <w:color w:val="000000"/>
          <w:sz w:val="22"/>
        </w:rPr>
        <w:t>means a close inspection of the exterior of a deceased human body for the purpose of locating, describing, and delineating any and all injuries or other abnormalities. External examination of a body does not constitute an autopsy, even if toxicology samples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amount to be paid to a county medical examiner’s office as determined by the board of supervisors of the county of appointment for completion of an investigation, autopsy, or report(s). Fees for services provided by the state medical examiner’s office are established in rule </w:t>
      </w:r>
      <w:hyperlink r:id="rId8">
        <w:r>
          <w:rPr>
            <w:rStyle w:val="Hyperlink"/>
            <w:rFonts w:ascii="Times New Roman" w:hAnsi="Times New Roman"/>
            <w:b w:val="false"/>
            <w:i w:val="false"/>
            <w:color w:val="000000"/>
            <w:sz w:val="22"/>
          </w:rPr>
          <w:t>641—126.3</w:t>
        </w:r>
      </w:hyperlink>
      <w:r>
        <w:rPr>
          <w:rFonts w:ascii="Times New Roman" w:hAnsi="Times New Roman"/>
          <w:b w:val="false"/>
          <w:i w:val="false"/>
          <w:color w:val="000000"/>
          <w:sz w:val="22"/>
        </w:rPr>
        <w:t>(691).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“Manner of death”</w:t>
      </w:r>
      <w:r>
        <w:rPr>
          <w:rFonts w:ascii="Times New Roman" w:hAnsi="Times New Roman"/>
          <w:b w:val="false"/>
          <w:i w:val="false"/>
          <w:color w:val="000000"/>
          <w:sz w:val="22"/>
        </w:rPr>
        <w:t> </w:t>
      </w:r>
      <w:r>
        <w:rPr>
          <w:rFonts w:ascii="Times New Roman" w:hAnsi="Times New Roman"/>
          <w:b w:val="false"/>
          <w:i w:val="false"/>
          <w:color w:val="000000"/>
          <w:sz w:val="22"/>
        </w:rPr>
        <w:t>means the circumstances under which the cause of death occurred and may be specified as follows: natural, accident, suicide, homicide, undetermined, or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care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or certified in any medical profession, including but not limited to a physician, physician assistant, nurse, emergency medical care provider, certified nurse’s aide, pharmacist, physical therapist, and medical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state medical examiner, deputy state medical examiner, county medical examiner, or deputy county medical examiner.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641—127.2</w:t>
      </w:r>
      <w:r>
        <w:rPr>
          <w:rFonts w:ascii="Times New Roman" w:hAnsi="Times New Roman"/>
          <w:b/>
          <w:i w:val="false"/>
          <w:color w:val="000000"/>
          <w:sz w:val="22"/>
        </w:rPr>
        <w:t xml:space="preserve">(331,691) </w:t>
      </w:r>
      <w:r>
        <w:rPr>
          <w:rFonts w:ascii="Times New Roman" w:hAnsi="Times New Roman"/>
          <w:b/>
          <w:i w:val="false"/>
          <w:color w:val="000000"/>
          <w:sz w:val="22"/>
        </w:rPr>
        <w:t xml:space="preserve">Duties of medical examiners—jurisdiction over deaths that affect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Upon receiving notification of a death that affects the public interest, a medical examiner shall notify any appropriate law enforcement agency not otherwise notified and take charge of the body of the decedent. The body shall not be disturbed or removed from the position in which it was found without authorization from the medical examiner except for the purpose of preserving the body from loss or destruction or permitting the passage of traffic on a highway, railroad, or airport, or unless the failure to remove the body might endanger life, safety, or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A county medical examiner shall conduct a preliminary investigation of the cause and manner of death and utilize the investigative protocol outlined in the County Medical Examiner’s Handbook as amended to August 1, 2025, available from the state medical examiner’s office. A medical examiner may perform or authorize performance of any scientific study to assist in identifying the cause, circumstances, and manner of death. A medical examiner shall cooperate with other investigating officials and agencies involved and share reports, information, and conclusions with these officials and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127.2(3)</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Preparation and filing. A county medical examiner shall electronically enter the examiner’s findings in the Preliminary Medical Examiner Report in the EMER system. A county medical examiner must complete and submit the EMER within 14 days of the date of death and file a copy of the EMER with the county attorney within 14 days of the date of the death and retain a copy for the county medical examiner’s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The EMER shall be completed as fully as possible in light of all available information and may be signed by either a county medical examiner or a county medical examiner investigator acting under the supervision of a county medical examiner. If the cause or manner of death, identity of the decedent, or other information is unknown or pending at the time of filing, “unknown” or “pending” may be written in the appropriate area of the form. If additional information becomes available, this information shall be forwarded to the state medical examiner in written form at such time as it becomes available to be added as a supplement to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Jurisdiction declined or terminated. </w:t>
      </w:r>
      <w:r>
        <w:rPr>
          <w:rFonts w:ascii="Times New Roman" w:hAnsi="Times New Roman"/>
          <w:b w:val="false"/>
          <w:i w:val="false"/>
          <w:color w:val="000000"/>
          <w:sz w:val="22"/>
        </w:rPr>
        <w:t xml:space="preserve">An EMER with designated, abbreviated, or minimal information shall be completed and submitted in accordance with subparagraphs </w:t>
      </w:r>
      <w:hyperlink r:id="rId9">
        <w:r>
          <w:rPr>
            <w:rStyle w:val="Hyperlink"/>
            <w:rFonts w:ascii="Times New Roman" w:hAnsi="Times New Roman"/>
            <w:b w:val="false"/>
            <w:i w:val="false"/>
            <w:color w:val="000000"/>
            <w:sz w:val="22"/>
          </w:rPr>
          <w:t>127.2(3)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 in cases reported to the county medical examiner where jurisdiction is terminated or declined.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body. </w:t>
      </w:r>
      <w:r>
        <w:rPr>
          <w:rFonts w:ascii="Times New Roman" w:hAnsi="Times New Roman"/>
          <w:b w:val="false"/>
          <w:i w:val="false"/>
          <w:color w:val="000000"/>
          <w:sz w:val="22"/>
        </w:rPr>
        <w:t xml:space="preserve">After an investigation, including an autopsy if one was performed, the body of the decedent shall be made available to the funeral home designated by a relative or friend of the decedent for burial or appropriate disposition. A medical examiner cannot use influence in favor of a particular funeral director or funeral home. If no one claims a body, it shall be disposed of as provided in Iowa Code chapter </w:t>
      </w:r>
      <w:hyperlink r:id="rId1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127.2(5)</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individual is required to report a death to a medical examiner and the county medical examiner cannot be located or is not available, the individual must contact a county medical examiner from any adjacent Iowa county to perform those duties outlined in this chapter. The responding medical examiner has full authority to conduct any procedures necessary to the investigation of the cause and manner of death. If an adjacent county medical examiner is not available, the state medical examiner shall be contacted and may act in the capacity of a county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responding county medical examiner will be reimbursed by the county for which the service is provided for all fees and expenses at the rate that is customarily paid by the county for which the service is provided or at a rate agreed upon by the medical examiner and the board of supervisors of the county for which the service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641—127.3</w:t>
      </w:r>
      <w:r>
        <w:rPr>
          <w:rFonts w:ascii="Times New Roman" w:hAnsi="Times New Roman"/>
          <w:b/>
          <w:i w:val="false"/>
          <w:color w:val="000000"/>
          <w:sz w:val="22"/>
        </w:rPr>
        <w:t xml:space="preserve">(331,691) </w:t>
      </w:r>
      <w:r>
        <w:rPr>
          <w:rFonts w:ascii="Times New Roman" w:hAnsi="Times New Roman"/>
          <w:b/>
          <w:i w:val="false"/>
          <w:color w:val="000000"/>
          <w:sz w:val="22"/>
        </w:rPr>
        <w:t xml:space="preserve">Autopsies.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127.3(1)</w:t>
      </w:r>
      <w:r>
        <w:rPr>
          <w:rFonts w:ascii="Times New Roman" w:hAnsi="Times New Roman"/>
          <w:b w:val="false"/>
          <w:i w:val="false"/>
          <w:color w:val="000000"/>
          <w:sz w:val="22"/>
        </w:rPr>
        <w:t> </w:t>
      </w:r>
      <w:r>
        <w:rPr>
          <w:rFonts w:ascii="Times New Roman" w:hAnsi="Times New Roman"/>
          <w:b w:val="false"/>
          <w:i/>
          <w:color w:val="000000"/>
          <w:sz w:val="22"/>
        </w:rPr>
        <w:t xml:space="preserve">Autopsy required. </w:t>
      </w:r>
      <w:r>
        <w:rPr>
          <w:rFonts w:ascii="Times New Roman" w:hAnsi="Times New Roman"/>
          <w:b w:val="false"/>
          <w:i w:val="false"/>
          <w:color w:val="000000"/>
          <w:sz w:val="22"/>
        </w:rPr>
        <w:t>A county medical examiner shall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in which the manner of death is undetermined.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cases involving unidentified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deaths of children under the age of two when there is not a clear cause of death, including suspected cases of unexpected or unexplained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work- and farm-related deaths unless there is an obvious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drowning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deaths of commercial vehicle drivers that occur during the performance of their job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Deaths due to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Deaths of airplane pilots who die as a result of an airplane crash. The National Transportation Safety Board and the Federal Aviation Administration should be contacted prior to the autopsy to request specimen kit(s).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Deaths due to a natural disaster, including tornadoes and floods.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Deaths in a prison, jail or correctional institution or under police custody, where there is not a natural disease process that accounts for the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127.3(2)</w:t>
      </w:r>
      <w:r>
        <w:rPr>
          <w:rFonts w:ascii="Times New Roman" w:hAnsi="Times New Roman"/>
          <w:b w:val="false"/>
          <w:i w:val="false"/>
          <w:color w:val="000000"/>
          <w:sz w:val="22"/>
        </w:rPr>
        <w:t> </w:t>
      </w:r>
      <w:r>
        <w:rPr>
          <w:rFonts w:ascii="Times New Roman" w:hAnsi="Times New Roman"/>
          <w:b w:val="false"/>
          <w:i/>
          <w:color w:val="000000"/>
          <w:sz w:val="22"/>
        </w:rPr>
        <w:t xml:space="preserve">Autopsy recommended. </w:t>
      </w:r>
      <w:r>
        <w:rPr>
          <w:rFonts w:ascii="Times New Roman" w:hAnsi="Times New Roman"/>
          <w:b w:val="false"/>
          <w:i w:val="false"/>
          <w:color w:val="000000"/>
          <w:sz w:val="22"/>
        </w:rPr>
        <w:t>It is recommended that a county medical examiner should perform an autopsy or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Deaths of adolescents less than 18 years of age when there is not a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that involve a motor vehicle crash.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Deaths from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pedestrian, bicycle, motorcycle, snowmobile, boating, watercraft, three- or four-wheeler or all-terrain vehicle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Deaths due to failure of a consumer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Deaths due to a possible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Deaths due to drug or alcohol abuse or overdose.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Electrical- and lightning-related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Deaths from burns or smoke or soot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deaths related to exposure, such as hypothermia and hyperthermia.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sport-related deaths, including but not limited to deaths from auto racing and deaths resulting from injuries sustained in football, basketball, baseball, softball, soccer, or other games or 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127.3(3)</w:t>
      </w:r>
      <w:r>
        <w:rPr>
          <w:rFonts w:ascii="Times New Roman" w:hAnsi="Times New Roman"/>
          <w:b w:val="false"/>
          <w:i w:val="false"/>
          <w:color w:val="000000"/>
          <w:sz w:val="22"/>
        </w:rPr>
        <w:t> </w:t>
      </w:r>
      <w:r>
        <w:rPr>
          <w:rFonts w:ascii="Times New Roman" w:hAnsi="Times New Roman"/>
          <w:b w:val="false"/>
          <w:i/>
          <w:color w:val="000000"/>
          <w:sz w:val="22"/>
        </w:rPr>
        <w:t xml:space="preserve">Other deaths. </w:t>
      </w:r>
      <w:r>
        <w:rPr>
          <w:rFonts w:ascii="Times New Roman" w:hAnsi="Times New Roman"/>
          <w:b w:val="false"/>
          <w:i w:val="false"/>
          <w:color w:val="000000"/>
          <w:sz w:val="22"/>
        </w:rPr>
        <w:t xml:space="preserve">For those deaths not listed in subrule </w:t>
      </w:r>
      <w:hyperlink r:id="rId11">
        <w:r>
          <w:rPr>
            <w:rStyle w:val="Hyperlink"/>
            <w:rFonts w:ascii="Times New Roman" w:hAnsi="Times New Roman"/>
            <w:b w:val="false"/>
            <w:i w:val="false"/>
            <w:color w:val="000000"/>
            <w:sz w:val="22"/>
          </w:rPr>
          <w:t>127.3(1)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127.3(2)</w:t>
        </w:r>
      </w:hyperlink>
      <w:r>
        <w:rPr>
          <w:rFonts w:ascii="Times New Roman" w:hAnsi="Times New Roman"/>
          <w:b w:val="false"/>
          <w:i w:val="false"/>
          <w:color w:val="000000"/>
          <w:sz w:val="22"/>
        </w:rPr>
        <w:t>, a county medical examiner will determine whether the public interest requires an autopsy and order that an autopsy be performed. A county medical examiner may consult with the state medical examiner to assist in determining the need for an autopsy.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127.3(4)</w:t>
      </w:r>
      <w:r>
        <w:rPr>
          <w:rFonts w:ascii="Times New Roman" w:hAnsi="Times New Roman"/>
          <w:b w:val="false"/>
          <w:i w:val="false"/>
          <w:color w:val="000000"/>
          <w:sz w:val="22"/>
        </w:rPr>
        <w:t> </w:t>
      </w:r>
      <w:r>
        <w:rPr>
          <w:rFonts w:ascii="Times New Roman" w:hAnsi="Times New Roman"/>
          <w:b w:val="false"/>
          <w:i/>
          <w:color w:val="000000"/>
          <w:sz w:val="22"/>
        </w:rPr>
        <w:t xml:space="preserve">Performance of autopsy.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w:t>
      </w:r>
      <w:r>
        <w:rPr>
          <w:rFonts w:ascii="Times New Roman" w:hAnsi="Times New Roman"/>
          <w:b w:val="false"/>
          <w:i w:val="false"/>
          <w:color w:val="000000"/>
          <w:sz w:val="22"/>
        </w:rPr>
        <w:t>Autopsies may be authorized by the state medical examiner, the county medical examiner for the county in which the death occurred or the county where any injury contributing to or causing the death was sustained, or the county attorney who would have jurisdiction in any criminal proceeding related to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w:t>
      </w:r>
      <w:r>
        <w:rPr>
          <w:rFonts w:ascii="Times New Roman" w:hAnsi="Times New Roman"/>
          <w:b w:val="false"/>
          <w:i w:val="false"/>
          <w:color w:val="000000"/>
          <w:sz w:val="22"/>
        </w:rPr>
        <w:t>An autopsy must be performed by a pathologist trained or with experience in forensic pathology, licensed to practice medicine and surgery or osteopathic medicine and surgery in the state of Iowa and board-certified by the American Board of Pathology, or under the direct supervision of a physician with these qualifications. The following types of deaths shall be transported to the office of the state medical examiner for autopsy unless otherwise approved by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Deaths of adolescents through 18 years of age when there is not a known or preexisting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Deaths of children under the age of two years if death results from an unknown cause or is unexpected.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suspicious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high-profile deaths, including but not limited to deaths of elected officials in municipal, state or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deaths of inmates occurring in any institutions under the department of corrections as outlined in Iowa Code section </w:t>
      </w:r>
      <w:hyperlink r:id="rId1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 excluding those deaths that result from a pre-existing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 required—EMER. </w:t>
      </w:r>
      <w:r>
        <w:rPr>
          <w:rFonts w:ascii="Times New Roman" w:hAnsi="Times New Roman"/>
          <w:b w:val="false"/>
          <w:i w:val="false"/>
          <w:color w:val="000000"/>
          <w:sz w:val="22"/>
        </w:rPr>
        <w:t>A medical examiner must complete the EMER. All reasonable efforts must be made to complete the EMER prior to the performance of an autopsy.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127.3(5)</w:t>
      </w:r>
      <w:r>
        <w:rPr>
          <w:rFonts w:ascii="Times New Roman" w:hAnsi="Times New Roman"/>
          <w:b w:val="false"/>
          <w:i w:val="false"/>
          <w:color w:val="000000"/>
          <w:sz w:val="22"/>
        </w:rPr>
        <w:t> </w:t>
      </w:r>
      <w:r>
        <w:rPr>
          <w:rFonts w:ascii="Times New Roman" w:hAnsi="Times New Roman"/>
          <w:b w:val="false"/>
          <w:i/>
          <w:color w:val="000000"/>
          <w:sz w:val="22"/>
        </w:rPr>
        <w:t xml:space="preserve">Autopsy report. </w:t>
      </w:r>
      <w:r>
        <w:rPr>
          <w:rFonts w:ascii="Times New Roman" w:hAnsi="Times New Roman"/>
          <w:b w:val="false"/>
          <w:i w:val="false"/>
          <w:color w:val="000000"/>
          <w:sz w:val="22"/>
        </w:rPr>
        <w:t>A complete record of the findings of the autopsy shall be submitted to the state medical examiner’s office, the county attorney of the county where the death occurred and the county attorney of the county where the injury contributing to or causing the death was sustained within 90 days following the date of death unless unusual circumstances requiring further investigation or testing exist. The report filed shall include transcriptions of the autopsy observations and opinions and toxicology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127.3(6)</w:t>
      </w:r>
      <w:r>
        <w:rPr>
          <w:rFonts w:ascii="Times New Roman" w:hAnsi="Times New Roman"/>
          <w:b w:val="false"/>
          <w:i w:val="false"/>
          <w:color w:val="000000"/>
          <w:sz w:val="22"/>
        </w:rPr>
        <w:t> </w:t>
      </w:r>
      <w:r>
        <w:rPr>
          <w:rFonts w:ascii="Times New Roman" w:hAnsi="Times New Roman"/>
          <w:b w:val="false"/>
          <w:i/>
          <w:color w:val="000000"/>
          <w:sz w:val="22"/>
        </w:rPr>
        <w:t xml:space="preserve">Out-of-state autopsy. </w:t>
      </w:r>
      <w:r>
        <w:rPr>
          <w:rFonts w:ascii="Times New Roman" w:hAnsi="Times New Roman"/>
          <w:b w:val="false"/>
          <w:i w:val="false"/>
          <w:color w:val="000000"/>
          <w:sz w:val="22"/>
        </w:rPr>
        <w:t>The body of a decedent may be sent out of state for an autopsy or postmortem examination only if the county medical examiner certifies in writing that the out-of-state autopsy or examination is necessary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forensic pathologist practicing in the state of Iowa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cause financial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delay the funeral or burial more than three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127.3(7)</w:t>
      </w:r>
      <w:r>
        <w:rPr>
          <w:rFonts w:ascii="Times New Roman" w:hAnsi="Times New Roman"/>
          <w:b w:val="false"/>
          <w:i w:val="false"/>
          <w:color w:val="000000"/>
          <w:sz w:val="22"/>
        </w:rPr>
        <w:t> </w:t>
      </w:r>
      <w:r>
        <w:rPr>
          <w:rFonts w:ascii="Times New Roman" w:hAnsi="Times New Roman"/>
          <w:b w:val="false"/>
          <w:i/>
          <w:color w:val="000000"/>
          <w:sz w:val="22"/>
        </w:rPr>
        <w:t xml:space="preserve">Retention and disposal of tissues, organs, and bodily fluids. </w:t>
      </w:r>
      <w:r>
        <w:rPr>
          <w:rFonts w:ascii="Times New Roman" w:hAnsi="Times New Roman"/>
          <w:b w:val="false"/>
          <w:i w:val="false"/>
          <w:color w:val="000000"/>
          <w:sz w:val="22"/>
        </w:rPr>
        <w:t>The office of the state medical examiner will retain tissues, organs, and bodily fluids as necessary to determine the cause and manner of death or as deemed advisable by the state medical examiner for medical or public health investigation, teaching, or research. Tissues, organs, and bodily fluids will be retained at a minimum for the time periods established by the National Association of Medical Examiners and may be retained for a longer time period at the discretion of the state medical examiner. Tissues, organs, and bodily fluids retained under this subrule will be disposed of without the specific consent or notification of the legal next of kin and in accordance with applicable federal and state regulations, including but not limited to OSHA-recommended biohazard and blood-borne pathogen standards. The anatomical material must be removed from the laboratory premises through use of a contracted, licensed, and bonded medical waste removal service to a medical waste processing center for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641—127.4</w:t>
      </w:r>
      <w:r>
        <w:rPr>
          <w:rFonts w:ascii="Times New Roman" w:hAnsi="Times New Roman"/>
          <w:b/>
          <w:i w:val="false"/>
          <w:color w:val="000000"/>
          <w:sz w:val="22"/>
        </w:rPr>
        <w:t xml:space="preserve">(331,691)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127.4(1)</w:t>
      </w:r>
      <w:r>
        <w:rPr>
          <w:rFonts w:ascii="Times New Roman" w:hAnsi="Times New Roman"/>
          <w:b w:val="false"/>
          <w:i w:val="false"/>
          <w:color w:val="000000"/>
          <w:sz w:val="22"/>
        </w:rPr>
        <w:t> </w:t>
      </w:r>
      <w:r>
        <w:rPr>
          <w:rFonts w:ascii="Times New Roman" w:hAnsi="Times New Roman"/>
          <w:b w:val="false"/>
          <w:i/>
          <w:color w:val="000000"/>
          <w:sz w:val="22"/>
        </w:rPr>
        <w:t xml:space="preserve">Payment of fee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examiner receives from the county of appointment or the county of the decedent’s residence a fee for each preliminary investigation and report submitted in a case in which a death affects the public interest. A county medical examiner shall also receive from the county of appointment or the county of the decedent’s residence the examiner’s actual expenses. The fee and expenses are submitted by the county medical examiner to the county of appointment, which may immediately pay the invoice or forward the invoice to the county of the decedent’s residence for payment to the county medical examiner. If the county medical examiner does not receive payment from the county of the decedent’s residence within 60 days of receiving the invoice, the county of appointment shall pay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pathologist or other physician who performs an autopsy under medical examiner authorization shall be paid for the services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Invoices produced for services performed by a county medical examiner, deputy county medical examiner or county medical examiner investigator must be submitted as a joint invoice to the county of appointment when services were rendered in a case by multiple county medical examiner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different from county of appointment—Iowa resident. </w:t>
      </w:r>
      <w:r>
        <w:rPr>
          <w:rFonts w:ascii="Times New Roman" w:hAnsi="Times New Roman"/>
          <w:b w:val="false"/>
          <w:i w:val="false"/>
          <w:color w:val="000000"/>
          <w:sz w:val="22"/>
        </w:rPr>
        <w:t>The county of the decedent’s residence shall reimburse the county of appointment for the fee and expenses paid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caused by criminal defendant. </w:t>
      </w:r>
      <w:r>
        <w:rPr>
          <w:rFonts w:ascii="Times New Roman" w:hAnsi="Times New Roman"/>
          <w:b w:val="false"/>
          <w:i w:val="false"/>
          <w:color w:val="000000"/>
          <w:sz w:val="22"/>
        </w:rPr>
        <w:t>If the person’s death is caused by a criminal defendant who has been convicted and sentenced for murder, voluntary manslaughter, involuntary manslaughter, or homicide by vehicle, the county of the person’s residence may recover from the defendant the fee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resident—law enforcement involvement. </w:t>
      </w:r>
      <w:r>
        <w:rPr>
          <w:rFonts w:ascii="Times New Roman" w:hAnsi="Times New Roman"/>
          <w:b w:val="false"/>
          <w:i w:val="false"/>
          <w:color w:val="000000"/>
          <w:sz w:val="22"/>
        </w:rPr>
        <w:t>The fee and expenses of a county medical examiner who performs an investigation or autopsy of a person who dies after being brought into the state for emergency medical treatment by or at the direction of an out-of-state law enforcement officer or public authority will be paid by the state. A claim for payment shall be filed with the state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resident—no law enforcement involvement. </w:t>
      </w:r>
      <w:r>
        <w:rPr>
          <w:rFonts w:ascii="Times New Roman" w:hAnsi="Times New Roman"/>
          <w:b w:val="false"/>
          <w:i w:val="false"/>
          <w:color w:val="000000"/>
          <w:sz w:val="22"/>
        </w:rPr>
        <w:t>The fee and expenses of a county medical examiner who performs an investigation or autopsy of an out-of-state resident shall be paid by the county of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641—127.5</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Death certificates—deaths affecting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127.5(1)</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The funeral director to whom the body is released shall complete the personal data on the death certificate. The medical examiner must complete the manner of death and cause of death sections of the death certificate within 72 hours after determination of the cause and manner of death. If an autopsy is performed by the state medical examiner, the death certificate medical certifier sections will be completed by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The funeral director shall file the certificate with the county registrar in the county in which the death occurred. A death certificate shall be filed prior to the issuance of a burial transit permit and prior to disposal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If a medical examiner is unable to complete the manner of death and cause of death sections of the death certificate within the 24-hour time period, the funeral director must file a death certificate form completed with all available information. Such certificate is authority for the issuance of a burial transit permit. Within 15 days, a supplemental report shall be filed with the local registrar that provides the information missing from the original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641—127.6</w:t>
      </w:r>
      <w:r>
        <w:rPr>
          <w:rFonts w:ascii="Times New Roman" w:hAnsi="Times New Roman"/>
          <w:b/>
          <w:i w:val="false"/>
          <w:color w:val="000000"/>
          <w:sz w:val="22"/>
        </w:rPr>
        <w:t xml:space="preserve">(331,691) </w:t>
      </w:r>
      <w:r>
        <w:rPr>
          <w:rFonts w:ascii="Times New Roman" w:hAnsi="Times New Roman"/>
          <w:b/>
          <w:i w:val="false"/>
          <w:color w:val="000000"/>
          <w:sz w:val="22"/>
        </w:rPr>
        <w:t xml:space="preserve">Cremation.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127.6(1)</w:t>
      </w:r>
      <w:r>
        <w:rPr>
          <w:rFonts w:ascii="Times New Roman" w:hAnsi="Times New Roman"/>
          <w:b w:val="false"/>
          <w:i w:val="false"/>
          <w:color w:val="000000"/>
          <w:sz w:val="22"/>
        </w:rPr>
        <w:t> </w:t>
      </w:r>
      <w:r>
        <w:rPr>
          <w:rFonts w:ascii="Times New Roman" w:hAnsi="Times New Roman"/>
          <w:b w:val="false"/>
          <w:i/>
          <w:color w:val="000000"/>
          <w:sz w:val="22"/>
        </w:rPr>
        <w:t xml:space="preserve">Permit obtained prior to cremation—cremation permit. </w:t>
      </w:r>
      <w:r>
        <w:rPr>
          <w:rFonts w:ascii="Times New Roman" w:hAnsi="Times New Roman"/>
          <w:b w:val="false"/>
          <w:i w:val="false"/>
          <w:color w:val="000000"/>
          <w:sz w:val="22"/>
        </w:rPr>
        <w:t>A permit for cremation must be obtained from a county medical examiner or state medical examiner prior to cremation of a body of a decedent. Cremation permits must be completed in the electronic death registry system. For the purposes of this requirement, a hard copy or facsimile of a hard copy shall only be utilized if the electronic death registry system is off-line for four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issuance of permit. </w:t>
      </w:r>
      <w:r>
        <w:rPr>
          <w:rFonts w:ascii="Times New Roman" w:hAnsi="Times New Roman"/>
          <w:b w:val="false"/>
          <w:i w:val="false"/>
          <w:color w:val="000000"/>
          <w:sz w:val="22"/>
        </w:rPr>
        <w:t>A county medical examiner shall direct an inquiry into the cause and manner of death and determine whether the death is one that affects the public interest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Death that affects the public interest. </w:t>
      </w:r>
      <w:r>
        <w:rPr>
          <w:rFonts w:ascii="Times New Roman" w:hAnsi="Times New Roman"/>
          <w:b w:val="false"/>
          <w:i w:val="false"/>
          <w:color w:val="000000"/>
          <w:sz w:val="22"/>
        </w:rPr>
        <w:t xml:space="preserve">If the death occurred in a manner specified in Iowa Code section </w:t>
      </w:r>
      <w:hyperlink r:id="rId14">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or if reasonable suspicion that the death occurred in such a manner exists, a medical examiner shall view the body, make a personal inquiry into the cause and manner of death, and complete or cause to be completed all necessary autopsy or postmortem examinations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that does not affect the public interest. </w:t>
      </w:r>
      <w:r>
        <w:rPr>
          <w:rFonts w:ascii="Times New Roman" w:hAnsi="Times New Roman"/>
          <w:b w:val="false"/>
          <w:i w:val="false"/>
          <w:color w:val="000000"/>
          <w:sz w:val="22"/>
        </w:rPr>
        <w:t xml:space="preserve">If, following an inquiry into the cause and manner of death, the county medical examiner determines that the death did not occur in a manner specified in Iowa Code section </w:t>
      </w:r>
      <w:hyperlink r:id="rId1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 medical examiner is not required to view the body prior to issuing a cremation permit. A county medical examiner must certify on the Cremation Permit in the electronic death registry system that the medical examiner’s inquiry into the cause and manner of death did not disclose evidence that the death occurred in a manner specified in Iowa Code section </w:t>
      </w:r>
      <w:hyperlink r:id="rId1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A fee for the Cremation Permit by Medical Examiner shall be paid by the family, next of kin, guardian of the decedent, or other person authorized to act on behalf of the decedent.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641—127.7</w:t>
      </w:r>
      <w:r>
        <w:rPr>
          <w:rFonts w:ascii="Times New Roman" w:hAnsi="Times New Roman"/>
          <w:b/>
          <w:i w:val="false"/>
          <w:color w:val="000000"/>
          <w:sz w:val="22"/>
        </w:rPr>
        <w:t xml:space="preserve">(331,691) </w:t>
      </w:r>
      <w:r>
        <w:rPr>
          <w:rFonts w:ascii="Times New Roman" w:hAnsi="Times New Roman"/>
          <w:b/>
          <w:i w:val="false"/>
          <w:color w:val="000000"/>
          <w:sz w:val="22"/>
        </w:rPr>
        <w:t xml:space="preserve">County medical examiner investigators.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county medical examiner investigators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appointment, a CME-I should possess a minimum of two years of experience as a licensed or certified nurse or medical care provider. A certified peace officer may be appointed to the position of CME-I if a nurse or medical care provider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CME-I shall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or within two years of appointment, attend the St. Louis University School of Medicine Basic Medicolegal Death Investigation Course or its state medical examiner-approved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or within five years of appointment, obtain certification at the registry level as a death investigator by the American Board of Medicolegal Death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CME-I is not required to meet the requirements of paragraph </w:t>
      </w:r>
      <w:hyperlink r:id="rId17">
        <w:r>
          <w:rPr>
            <w:rStyle w:val="Hyperlink"/>
            <w:rFonts w:ascii="Times New Roman" w:hAnsi="Times New Roman"/>
            <w:b w:val="false"/>
            <w:i w:val="false"/>
            <w:color w:val="000000"/>
            <w:sz w:val="22"/>
          </w:rPr>
          <w:t>127.7(2)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if the individual has functioned in the capacity of a CME-I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CME is unable to appoint a CME-I who possesses the qualifications required by paragraph </w:t>
      </w:r>
      <w:hyperlink r:id="rId18">
        <w:r>
          <w:rPr>
            <w:rStyle w:val="Hyperlink"/>
            <w:rFonts w:ascii="Times New Roman" w:hAnsi="Times New Roman"/>
            <w:b w:val="false"/>
            <w:i w:val="false"/>
            <w:color w:val="000000"/>
            <w:sz w:val="22"/>
          </w:rPr>
          <w:t>127.7(2)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CME may request a waiver. Waiver requests must be submitted in writing to the state medical examiner and include the efforts undertaken by the CME to locate a CME-I who meets the above qualifications; the qualifications of the individual willing to serve in the capacity of a CME-I; and the period of time for which the waiver is requested, not to exceed two years. The state medical examiner has sole discretion to waive the requirements of this rule and may withdraw or modify a waiver request upon a finding that the CME-I has failed to adequately perform the duties of the position or for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CME-I is unable to meet the eligibility requirements for obtaining registry certification due to the small number of cases requiring investigation in the county of appointment, then a waiver must be obtained from the state medical examiner in order for the investigator to continue the investigator’s duties. The county medical examiner must submit a request for a waiver in writing with documentation of the number of deaths occurring in the county of appointment that require death investigation. The waiver must be renewed every five years if the required number of investigations has still not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CME-I shall assist in death investigations. A CME-I acting under the supervision of a county medical examiner may sign the EMER. A CME-I cannot sign a certificate of death or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127.7(4)</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CME-I shall serve under the supervision of a county medical examiner. A CME-I provides services under the direction of a county medical examiner or state medical examiner’s office. A CME-I can perform services in a manner that is consistent with the protocol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127.7(5)</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CME-I shall be paid by the county of appointment or by the county of the decedent’s residence. A CME-I shall receive from the county of appointment or the county of the decedent’s residence reimbursement for actual expenses. The fee and expenses must be submitted by the CME-I to the county of appointment, which may immediately pay the invoice or forward the invoice to the county of the decedent’s residence for payment to the CME-I. If the CME-I does not receive payment from the county of the decedent’s residence within 60 days of receiving the invoice, the county of appointment shall pay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641—127.8</w:t>
      </w:r>
      <w:r>
        <w:rPr>
          <w:rFonts w:ascii="Times New Roman" w:hAnsi="Times New Roman"/>
          <w:b/>
          <w:i w:val="false"/>
          <w:color w:val="000000"/>
          <w:sz w:val="22"/>
        </w:rPr>
        <w:t xml:space="preserve">(331,691) </w:t>
      </w:r>
      <w:r>
        <w:rPr>
          <w:rFonts w:ascii="Times New Roman" w:hAnsi="Times New Roman"/>
          <w:b/>
          <w:i w:val="false"/>
          <w:color w:val="000000"/>
          <w:sz w:val="22"/>
        </w:rPr>
        <w:t xml:space="preserve">Deputy county medical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DCMEs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 DCME must be licensed in the state of Iowa as a medical or osteopathic physician or surgeon.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DCME serves at the direction of the county medical examiner and may perform any duty of a county medical examiner that is delegated by the county medical examiner to the DCME.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DCME are paid by the county of appointment or by the county of the decedent’s residence. A DCME receives from the county of appointment or the county of the decedent’s residence reimbursement for actual expenses. The fee and expenses will be submitted by the DCME to the county of appointment, which may immediately pay the invoice or forward the invoice to the county of the decedent’s residence for payment to the DCME. If the DCME does not receive payment from the county of the decedent’s residence within 60 days of receiving the invoice, the county of appointment pays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641—127.9</w:t>
      </w:r>
      <w:r>
        <w:rPr>
          <w:rFonts w:ascii="Times New Roman" w:hAnsi="Times New Roman"/>
          <w:b/>
          <w:i w:val="false"/>
          <w:color w:val="000000"/>
          <w:sz w:val="22"/>
        </w:rPr>
        <w:t xml:space="preserve">(331,691)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If a county medical examiner, deputy county medical examiner, county medical examiner investigator, pathologist, or other physician fails to comply with these rules, the state medical examiner may provide written notice of the failure to comply to that individual, the appropriate county medical examiner, and the appropriate county board of supervisors. Within 30 days of the date of the notice, the individual to whom the notice was provided shall submit a written response to the state medical examiner, outlining a proposed corrective action plan. If no response is received within the 30 days or if the proposed corrective action plan is unacceptable, the state medical examiner will forward copies of the notice and all pertinent correspondence and information to the board of supervisors for the county that appointed the individual, notifying the board of the individual’s failure to comply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641—127.10</w:t>
      </w:r>
      <w:r>
        <w:rPr>
          <w:rFonts w:ascii="Times New Roman" w:hAnsi="Times New Roman"/>
          <w:b/>
          <w:i w:val="false"/>
          <w:color w:val="000000"/>
          <w:sz w:val="22"/>
        </w:rPr>
        <w:t xml:space="preserve">(331,691,22)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Records and reports of a medical examiner may be confidential records pursuant to Iowa Code section </w:t>
      </w:r>
      <w:hyperlink r:id="rId1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22.7(41)</w:t>
        </w:r>
      </w:hyperlink>
      <w:r>
        <w:rPr>
          <w:rFonts w:ascii="Times New Roman" w:hAnsi="Times New Roman"/>
          <w:b w:val="false"/>
          <w:i w:val="false"/>
          <w:color w:val="000000"/>
          <w:sz w:val="22"/>
        </w:rPr>
        <w:t xml:space="preserve"> and other provisions of Iowa law. Prior to releasing a medical examiner record or report to a member of the public, a county medical examiner may inform the appropriate law enforcement agency, the county attorney, and the state medical examiner to determine whether release is authorized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641—127.11</w:t>
      </w:r>
      <w:r>
        <w:rPr>
          <w:rFonts w:ascii="Times New Roman" w:hAnsi="Times New Roman"/>
          <w:b/>
          <w:i w:val="false"/>
          <w:color w:val="000000"/>
          <w:sz w:val="22"/>
        </w:rPr>
        <w:t xml:space="preserve">(331,691,670)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 xml:space="preserve">A board of supervisors shall defend, hold harmless, and indemnify a county medical examiner and any properly appointed staff members to the extent provided in Iowa Code chapter </w:t>
      </w:r>
      <w:hyperlink r:id="rId22">
        <w:r>
          <w:rPr>
            <w:rStyle w:val="Hyperlink"/>
            <w:rFonts w:ascii="Times New Roman" w:hAnsi="Times New Roman"/>
            <w:b w:val="false"/>
            <w:i w:val="false"/>
            <w:color w:val="000000"/>
            <w:sz w:val="22"/>
          </w:rPr>
          <w:t>670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10, 1966]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11/19/01, Notice 10/3/01—published 12/12/01, effective 1/16/02]</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8526B</w:t>
      </w:r>
      <w:r>
        <w:rPr>
          <w:rFonts w:ascii="Times New Roman" w:hAnsi="Times New Roman"/>
          <w:b w:val="false"/>
          <w:i w:val="false"/>
          <w:color w:val="000000"/>
          <w:sz w:val="21"/>
        </w:rPr>
        <w:t xml:space="preserve"> (Notice ARC 8162B, IAB 9/23/09)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1403C</w:t>
      </w:r>
      <w:r>
        <w:rPr>
          <w:rFonts w:ascii="Times New Roman" w:hAnsi="Times New Roman"/>
          <w:b w:val="false"/>
          <w:i w:val="false"/>
          <w:color w:val="000000"/>
          <w:sz w:val="21"/>
        </w:rPr>
        <w:t xml:space="preserve"> (Notice ARC 1316C,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2841C</w:t>
      </w:r>
      <w:r>
        <w:rPr>
          <w:rFonts w:ascii="Times New Roman" w:hAnsi="Times New Roman"/>
          <w:b w:val="false"/>
          <w:i w:val="false"/>
          <w:color w:val="000000"/>
          <w:sz w:val="21"/>
        </w:rPr>
        <w:t xml:space="preserve"> (Notice ARC 2733C,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0076D</w:t>
      </w:r>
      <w:r>
        <w:rPr>
          <w:rFonts w:ascii="Times New Roman" w:hAnsi="Times New Roman"/>
          <w:b w:val="false"/>
          <w:i w:val="false"/>
          <w:color w:val="000000"/>
          <w:sz w:val="21"/>
        </w:rPr>
        <w:t xml:space="preserve"> (Notice ARC 9667C, IAB 11/12/25)</w:t>
      </w:r>
      <w:r>
        <w:rPr>
          <w:rFonts w:ascii="Times New Roman" w:hAnsi="Times New Roman"/>
          <w:b w:val="false"/>
          <w:i w:val="false"/>
          <w:color w:val="000000"/>
          <w:sz w:val="21"/>
        </w:rPr>
        <w:t>, IAB 2/18/26, effective 4/1/26]</w:t>
      </w:r>
    </w:p>
    <w:sectPr>
      <w:footerReference r:id="rId2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2.8.pdf" Type="http://schemas.openxmlformats.org/officeDocument/2006/relationships/hyperlink" Id="rId5"/>
    <Relationship TargetMode="External" Target="https://www.legis.iowa.gov/docs/ico/chapter/331.802.pdf" Type="http://schemas.openxmlformats.org/officeDocument/2006/relationships/hyperlink" Id="rId6"/>
    <Relationship TargetMode="External" Target="https://www.legis.iowa.gov/docs/ico/chapter/144.29.pdf" Type="http://schemas.openxmlformats.org/officeDocument/2006/relationships/hyperlink" Id="rId7"/>
    <Relationship TargetMode="External" Target="https://www.legis.iowa.gov/docs/iac/rule/641.126.3.pdf" Type="http://schemas.openxmlformats.org/officeDocument/2006/relationships/hyperlink" Id="rId8"/>
    <Relationship TargetMode="External" Target="https://www.legis.iowa.gov/docs/iac/rule/641.127.2.pdf" Type="http://schemas.openxmlformats.org/officeDocument/2006/relationships/hyperlink" Id="rId9"/>
    <Relationship TargetMode="External" Target="https://www.legis.iowa.gov/docs/ico/chapter/142.pdf" Type="http://schemas.openxmlformats.org/officeDocument/2006/relationships/hyperlink" Id="rId10"/>
    <Relationship TargetMode="External" Target="https://www.legis.iowa.gov/docs/iac/rule/641.127.3.pdf" Type="http://schemas.openxmlformats.org/officeDocument/2006/relationships/hyperlink" Id="rId11"/>
    <Relationship TargetMode="External" Target="https://www.legis.iowa.gov/docs/iac/rule/641.127.3.pdf" Type="http://schemas.openxmlformats.org/officeDocument/2006/relationships/hyperlink" Id="rId12"/>
    <Relationship TargetMode="External" Target="https://www.legis.iowa.gov/docs/ico/chapter/904.102.pdf" Type="http://schemas.openxmlformats.org/officeDocument/2006/relationships/hyperlink" Id="rId13"/>
    <Relationship TargetMode="External" Target="https://www.legis.iowa.gov/docs/ico/chapter/331.802.pdf" Type="http://schemas.openxmlformats.org/officeDocument/2006/relationships/hyperlink" Id="rId14"/>
    <Relationship TargetMode="External" Target="https://www.legis.iowa.gov/docs/ico/chapter/331.802.pdf" Type="http://schemas.openxmlformats.org/officeDocument/2006/relationships/hyperlink" Id="rId15"/>
    <Relationship TargetMode="External" Target="https://www.legis.iowa.gov/docs/ico/chapter/331.802.pdf" Type="http://schemas.openxmlformats.org/officeDocument/2006/relationships/hyperlink" Id="rId16"/>
    <Relationship TargetMode="External" Target="https://www.legis.iowa.gov/docs/iac/rule/641.127.7.pdf" Type="http://schemas.openxmlformats.org/officeDocument/2006/relationships/hyperlink" Id="rId17"/>
    <Relationship TargetMode="External" Target="https://www.legis.iowa.gov/docs/iac/rule/641.127.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70.pdf" Type="http://schemas.openxmlformats.org/officeDocument/2006/relationships/hyperlink" Id="rId22"/>
    <Relationship TargetMode="External" Target="https://www.legis.iowa.gov/docs/ico/chapter/331.pdf" Type="http://schemas.openxmlformats.org/officeDocument/2006/relationships/hyperlink" Id="rId23"/>
    <Relationship TargetMode="External" Target="https://www.legis.iowa.gov/docs/ico/chapter/691.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