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107</w:t>
      </w:r>
    </w:p>
    <w:p>
      <w:pPr>
        <w:spacing w:before="0" w:after="0"/>
        <w:ind w:left="120"/>
        <w:jc w:val="center"/>
      </w:pPr>
      <w:r>
        <w:rPr>
          <w:rFonts w:ascii="Times New Roman" w:hAnsi="Times New Roman"/>
          <w:b w:val="false"/>
          <w:i w:val="false"/>
          <w:color w:val="000000"/>
          <w:sz w:val="21"/>
        </w:rPr>
        <w:t>BOARD-CERTIFIED BEHAVIOR ANALYST AND BOARD-CERTIFIED ASSISTANT BEHAVIOR ANALYST (BCBA/BCaBA) GRANTS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3/1/31</w:t>
      </w:r>
    </w:p>
    <w:p>
      <w:pPr>
        <w:spacing w:before="0" w:after="0"/>
        <w:ind w:left="120"/>
        <w:jc w:val="both"/>
      </w:pPr>
      <w:r>
        <w:rPr>
          <w:rFonts w:ascii="Times New Roman" w:hAnsi="Times New Roman"/>
          <w:b/>
          <w:i w:val="false"/>
          <w:color w:val="000000"/>
          <w:sz w:val="22"/>
        </w:rPr>
        <w:t>641—107.1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“Board-certified assistant behavior analyst”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“BCaBA” </w:t>
      </w:r>
      <w:r>
        <w:rPr>
          <w:rFonts w:ascii="Times New Roman" w:hAnsi="Times New Roman"/>
          <w:b w:val="false"/>
          <w:i w:val="false"/>
          <w:color w:val="000000"/>
          <w:sz w:val="22"/>
        </w:rPr>
        <w:t>means a person who has a bachelor’s degree from an accredited university, has completed approved coursework as defined by the international Behavior Analyst Certification Board, has completed a defined period of supervised practical experience, and has passed the BCaBA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“Board-certified behavior analyst”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“BCBA” </w:t>
      </w:r>
      <w:r>
        <w:rPr>
          <w:rFonts w:ascii="Times New Roman" w:hAnsi="Times New Roman"/>
          <w:b w:val="false"/>
          <w:i w:val="false"/>
          <w:color w:val="000000"/>
          <w:sz w:val="22"/>
        </w:rPr>
        <w:t>means a person who has an acceptable graduate degree from an accredited university as defined by the international Behavior Analyst Certification Board, has completed acceptable graduate coursework in behavior analysis, has completed a defined period of supervised practical experience, and has passed the BCBA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enrollment” </w:t>
      </w:r>
      <w:r>
        <w:rPr>
          <w:rFonts w:ascii="Times New Roman" w:hAnsi="Times New Roman"/>
          <w:b w:val="false"/>
          <w:i w:val="false"/>
          <w:color w:val="000000"/>
          <w:sz w:val="22"/>
        </w:rPr>
        <w:t>means the applicant is enrolled in a program to be eligible for board certification as a behavior analyst or assistant behavior analyst with the appropriate number of semester credit hours as defined by the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“Nonresident” </w:t>
      </w:r>
      <w:r>
        <w:rPr>
          <w:rFonts w:ascii="Times New Roman" w:hAnsi="Times New Roman"/>
          <w:b w:val="false"/>
          <w:i w:val="false"/>
          <w:color w:val="000000"/>
          <w:sz w:val="22"/>
        </w:rPr>
        <w:t>means a person who is not 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“Part-time enrollment” </w:t>
      </w:r>
      <w:r>
        <w:rPr>
          <w:rFonts w:ascii="Times New Roman" w:hAnsi="Times New Roman"/>
          <w:b w:val="false"/>
          <w:i w:val="false"/>
          <w:color w:val="000000"/>
          <w:sz w:val="22"/>
        </w:rPr>
        <w:t>means the applicant is enrolled in a program to be eligible for board certification as a behavior analyst or assistant behavior analyst with the appropriate number of semester credit hours as defined by the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w:t>
      </w:r>
      <w:r>
        <w:rPr>
          <w:rFonts w:ascii="Times New Roman" w:hAnsi="Times New Roman"/>
          <w:b w:val="false"/>
          <w:i w:val="false"/>
          <w:color w:val="000000"/>
          <w:sz w:val="22"/>
        </w:rPr>
        <w:t>means a natural person who physically resides in Iowa as the person’s principal and primary residence and who establishes evidence of such residency by providing the department with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valid Iowa driver’s license,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valid Iowa nonoperator’s identification card,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valid Iowa voter registration card,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current Iowa vehicle registration certificate,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utility bill,</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from a financial institution,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residential lease agreement,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check or pay stub from an employer,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child’s school or child care enrollment documents,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Valid documentation establishing a filing for homestead or military tax exemption on property located in Iowa, or</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Other valid documentation as deemed acceptable by the department to establish residency.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9957C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641—107.2</w:t>
      </w:r>
      <w:r>
        <w:rPr>
          <w:rFonts w:ascii="Times New Roman" w:hAnsi="Times New Roman"/>
          <w:b/>
          <w:i w:val="false"/>
          <w:color w:val="000000"/>
          <w:sz w:val="22"/>
        </w:rPr>
        <w:t xml:space="preserve">(135) </w:t>
      </w:r>
      <w:r>
        <w:rPr>
          <w:rFonts w:ascii="Times New Roman" w:hAnsi="Times New Roman"/>
          <w:b/>
          <w:i w:val="false"/>
          <w:color w:val="000000"/>
          <w:sz w:val="22"/>
        </w:rPr>
        <w:t xml:space="preserve">Eligibility criteria. </w:t>
      </w:r>
      <w:r>
        <w:rPr>
          <w:rFonts w:ascii="Times New Roman" w:hAnsi="Times New Roman"/>
          <w:b w:val="false"/>
          <w:i w:val="false"/>
          <w:color w:val="000000"/>
          <w:sz w:val="22"/>
        </w:rPr>
        <w:t>To be eligible for a grant, the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107.2(1)</w:t>
      </w:r>
      <w:r>
        <w:rPr>
          <w:rFonts w:ascii="Times New Roman" w:hAnsi="Times New Roman"/>
          <w:b w:val="false"/>
          <w:i w:val="false"/>
          <w:color w:val="000000"/>
          <w:sz w:val="22"/>
        </w:rPr>
        <w:t> </w:t>
      </w:r>
      <w:r>
        <w:rPr>
          <w:rFonts w:ascii="Times New Roman" w:hAnsi="Times New Roman"/>
          <w:b w:val="false"/>
          <w:i w:val="false"/>
          <w:color w:val="000000"/>
          <w:sz w:val="22"/>
        </w:rPr>
        <w:t>Be an Iowa resident or nonresident.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107.2(2)</w:t>
      </w:r>
      <w:r>
        <w:rPr>
          <w:rFonts w:ascii="Times New Roman" w:hAnsi="Times New Roman"/>
          <w:b w:val="false"/>
          <w:i w:val="false"/>
          <w:color w:val="000000"/>
          <w:sz w:val="22"/>
        </w:rPr>
        <w:t> </w:t>
      </w:r>
      <w:r>
        <w:rPr>
          <w:rFonts w:ascii="Times New Roman" w:hAnsi="Times New Roman"/>
          <w:b w:val="false"/>
          <w:i w:val="false"/>
          <w:color w:val="000000"/>
          <w:sz w:val="22"/>
        </w:rPr>
        <w:t>Be accepted for admission to or be attending a university, a community college, or an accredited private institution, within or outside the state of Iowa; be enrolled in a program, offered at a physical location or online, that is accredited and meets coursework requirements to prepare the applicant to be eligible for board certification as a behavior analyst or assistant behavior analyst; and demonstrate financial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107.2(3)</w:t>
      </w:r>
      <w:r>
        <w:rPr>
          <w:rFonts w:ascii="Times New Roman" w:hAnsi="Times New Roman"/>
          <w:b w:val="false"/>
          <w:i w:val="false"/>
          <w:color w:val="000000"/>
          <w:sz w:val="22"/>
        </w:rPr>
        <w:t> </w:t>
      </w:r>
      <w:r>
        <w:rPr>
          <w:rFonts w:ascii="Times New Roman" w:hAnsi="Times New Roman"/>
          <w:b w:val="false"/>
          <w:i w:val="false"/>
          <w:color w:val="000000"/>
          <w:sz w:val="22"/>
        </w:rPr>
        <w:t>Have on file with the college student aid commission a current Free Application for Federal Student Aid (FAFSA) and Iowa Financial Aid Application or similar financial aid documentation from another state and submit documentation of financial need as described in the department’s request for proposal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107.2(4)</w:t>
      </w:r>
      <w:r>
        <w:rPr>
          <w:rFonts w:ascii="Times New Roman" w:hAnsi="Times New Roman"/>
          <w:b w:val="false"/>
          <w:i w:val="false"/>
          <w:color w:val="000000"/>
          <w:sz w:val="22"/>
        </w:rPr>
        <w:t> </w:t>
      </w:r>
      <w:r>
        <w:rPr>
          <w:rFonts w:ascii="Times New Roman" w:hAnsi="Times New Roman"/>
          <w:b w:val="false"/>
          <w:i w:val="false"/>
          <w:color w:val="000000"/>
          <w:sz w:val="22"/>
        </w:rPr>
        <w:t>Agree to practice in the state of Iowa for a period of time, not to exceed four years, as specified in the contract entered into between the applicant and the department at the time the grant is awarded.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107.2(5)</w:t>
      </w:r>
      <w:r>
        <w:rPr>
          <w:rFonts w:ascii="Times New Roman" w:hAnsi="Times New Roman"/>
          <w:b w:val="false"/>
          <w:i w:val="false"/>
          <w:color w:val="000000"/>
          <w:sz w:val="22"/>
        </w:rPr>
        <w:t> </w:t>
      </w:r>
      <w:r>
        <w:rPr>
          <w:rFonts w:ascii="Times New Roman" w:hAnsi="Times New Roman"/>
          <w:b w:val="false"/>
          <w:i w:val="false"/>
          <w:color w:val="000000"/>
          <w:sz w:val="22"/>
        </w:rPr>
        <w:t>Agree, as specified in the contract between the applicant and the department at the time the grant is awarded, that during the contract period, the applicant will assist in supervising an individual working toward board certification as a behavior analyst or assistant behavior analyst or to consult with schools and service providers that provide services and supports to individuals with autism.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9957C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641—107.3</w:t>
      </w:r>
      <w:r>
        <w:rPr>
          <w:rFonts w:ascii="Times New Roman" w:hAnsi="Times New Roman"/>
          <w:b/>
          <w:i w:val="false"/>
          <w:color w:val="000000"/>
          <w:sz w:val="22"/>
        </w:rPr>
        <w:t xml:space="preserve">(135) </w:t>
      </w:r>
      <w:r>
        <w:rPr>
          <w:rFonts w:ascii="Times New Roman" w:hAnsi="Times New Roman"/>
          <w:b/>
          <w:i w:val="false"/>
          <w:color w:val="000000"/>
          <w:sz w:val="22"/>
        </w:rPr>
        <w:t xml:space="preserve">Priority in grant awards. </w:t>
      </w:r>
      <w:r>
        <w:rPr>
          <w:rFonts w:ascii="Times New Roman" w:hAnsi="Times New Roman"/>
          <w:b w:val="false"/>
          <w:i w:val="false"/>
          <w:color w:val="000000"/>
          <w:sz w:val="22"/>
        </w:rPr>
        <w:t>Priority in the awarding of a grant will be given to resident applicants.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9957C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641—107.4</w:t>
      </w:r>
      <w:r>
        <w:rPr>
          <w:rFonts w:ascii="Times New Roman" w:hAnsi="Times New Roman"/>
          <w:b/>
          <w:i w:val="false"/>
          <w:color w:val="000000"/>
          <w:sz w:val="22"/>
        </w:rPr>
        <w:t xml:space="preserve">(135) </w:t>
      </w:r>
      <w:r>
        <w:rPr>
          <w:rFonts w:ascii="Times New Roman" w:hAnsi="Times New Roman"/>
          <w:b/>
          <w:i w:val="false"/>
          <w:color w:val="000000"/>
          <w:sz w:val="22"/>
        </w:rPr>
        <w:t xml:space="preserve">Amount of a grant. </w:t>
      </w:r>
      <w:r>
        <w:rPr>
          <w:rFonts w:ascii="Times New Roman" w:hAnsi="Times New Roman"/>
          <w:b w:val="false"/>
          <w:i w:val="false"/>
          <w:color w:val="000000"/>
          <w:sz w:val="22"/>
        </w:rPr>
        <w:t xml:space="preserve">The department will award funds based upon the amount set aside in the special fund as identified in Iowa Code section </w:t>
      </w:r>
      <w:hyperlink r:id="rId5">
        <w:r>
          <w:rPr>
            <w:rStyle w:val="Hyperlink"/>
            <w:rFonts w:ascii="Times New Roman" w:hAnsi="Times New Roman"/>
            <w:b w:val="false"/>
            <w:i w:val="false"/>
            <w:color w:val="000000"/>
            <w:sz w:val="22"/>
          </w:rPr>
          <w:t>135.181</w:t>
        </w:r>
      </w:hyperlink>
      <w:r>
        <w:rPr>
          <w:rFonts w:ascii="Times New Roman" w:hAnsi="Times New Roman"/>
          <w:b w:val="false"/>
          <w:i w:val="false"/>
          <w:color w:val="000000"/>
          <w:sz w:val="22"/>
        </w:rPr>
        <w:t xml:space="preserve">. Moneys appropriated to, and all other moneys specified for deposit in, the fund will be dedicated to the BCBA/BCaBA grants program as established in Iowa Code section </w:t>
      </w:r>
      <w:hyperlink r:id="rId6">
        <w:r>
          <w:rPr>
            <w:rStyle w:val="Hyperlink"/>
            <w:rFonts w:ascii="Times New Roman" w:hAnsi="Times New Roman"/>
            <w:b w:val="false"/>
            <w:i w:val="false"/>
            <w:color w:val="000000"/>
            <w:sz w:val="22"/>
          </w:rPr>
          <w:t>135.181</w:t>
        </w:r>
      </w:hyperlink>
      <w:r>
        <w:rPr>
          <w:rFonts w:ascii="Times New Roman" w:hAnsi="Times New Roman"/>
          <w:b w:val="false"/>
          <w:i w:val="false"/>
          <w:color w:val="000000"/>
          <w:sz w:val="22"/>
        </w:rPr>
        <w:t>. These rules will be implemented only to the extent that funding is available. The amount of funding awarded to each applicant will be based on the applicant’s enrollment status (full-time enrollment or part-time enrollment), the number of applicants, and the total amount of available funds. The total amount of funds awarded to an individual applicant will not exceed 50 percent of the total costs attributable to program tuition and fees, annually. Awarded grant funds will be payable to the student and prorated on the number of semesters or other terms of study to complete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9957C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641—107.5</w:t>
      </w:r>
      <w:r>
        <w:rPr>
          <w:rFonts w:ascii="Times New Roman" w:hAnsi="Times New Roman"/>
          <w:b/>
          <w:i w:val="false"/>
          <w:color w:val="000000"/>
          <w:sz w:val="22"/>
        </w:rPr>
        <w:t xml:space="preserve">(135) </w:t>
      </w:r>
      <w:r>
        <w:rPr>
          <w:rFonts w:ascii="Times New Roman" w:hAnsi="Times New Roman"/>
          <w:b/>
          <w:i w:val="false"/>
          <w:color w:val="000000"/>
          <w:sz w:val="22"/>
        </w:rPr>
        <w:t xml:space="preserve">Use of funds. </w:t>
      </w:r>
      <w:r>
        <w:rPr>
          <w:rFonts w:ascii="Times New Roman" w:hAnsi="Times New Roman"/>
          <w:b w:val="false"/>
          <w:i w:val="false"/>
          <w:color w:val="000000"/>
          <w:sz w:val="22"/>
        </w:rPr>
        <w:t>Funds awarded may be used to offset the costs attributable to tuition and fees for the accredited behavior analyst or assistant behavior analyst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9957C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641—107.6</w:t>
      </w:r>
      <w:r>
        <w:rPr>
          <w:rFonts w:ascii="Times New Roman" w:hAnsi="Times New Roman"/>
          <w:b/>
          <w:i w:val="false"/>
          <w:color w:val="000000"/>
          <w:sz w:val="22"/>
        </w:rPr>
        <w:t xml:space="preserve">(135) </w:t>
      </w:r>
      <w:r>
        <w:rPr>
          <w:rFonts w:ascii="Times New Roman" w:hAnsi="Times New Roman"/>
          <w:b/>
          <w:i w:val="false"/>
          <w:color w:val="000000"/>
          <w:sz w:val="22"/>
        </w:rPr>
        <w:t xml:space="preserve">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107.6(1)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shall complete and submit an application to the program in the manner specified by the department. An applicant, if awarded a grant, shall enter into a contract with the department. The department will follow the requirements for competitive bid appeals contained in Division II of </w:t>
      </w:r>
      <w:hyperlink r:id="rId7">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107.6(2)</w:t>
      </w:r>
      <w:r>
        <w:rPr>
          <w:rFonts w:ascii="Times New Roman" w:hAnsi="Times New Roman"/>
          <w:b w:val="false"/>
          <w:i w:val="false"/>
          <w:color w:val="000000"/>
          <w:sz w:val="22"/>
        </w:rPr>
        <w:t> </w:t>
      </w:r>
      <w:r>
        <w:rPr>
          <w:rFonts w:ascii="Times New Roman" w:hAnsi="Times New Roman"/>
          <w:b w:val="false"/>
          <w:i w:val="false"/>
          <w:color w:val="000000"/>
          <w:sz w:val="22"/>
        </w:rPr>
        <w:t>The department will establish an application process for applicants eligible to receive funding. The application review process and review criteria for preference in awarding the grants will be described in a request for proposals.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107.6(3)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may appeal the denial of a properly submitted grant application. Appeals will be governed by the provisions set forth in Division II of </w:t>
      </w:r>
      <w:hyperlink r:id="rId8">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9957C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135.181</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ARC 2765C</w:t>
      </w:r>
      <w:r>
        <w:rPr>
          <w:rFonts w:ascii="Times New Roman" w:hAnsi="Times New Roman"/>
          <w:b w:val="false"/>
          <w:i w:val="false"/>
          <w:color w:val="000000"/>
          <w:sz w:val="21"/>
        </w:rPr>
        <w:t xml:space="preserve"> (Notice ARC 2460C, IAB 3/16/16; </w:t>
      </w:r>
      <w:r>
        <w:rPr>
          <w:rFonts w:ascii="Times New Roman" w:hAnsi="Times New Roman"/>
          <w:b w:val="false"/>
          <w:i w:val="false"/>
          <w:color w:val="000000"/>
          <w:sz w:val="21"/>
        </w:rPr>
        <w:t>Amended Notice ARC 2621C, IAB 7/20/16)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3105C</w:t>
      </w:r>
      <w:r>
        <w:rPr>
          <w:rFonts w:ascii="Times New Roman" w:hAnsi="Times New Roman"/>
          <w:b w:val="false"/>
          <w:i w:val="false"/>
          <w:color w:val="000000"/>
          <w:sz w:val="21"/>
        </w:rPr>
        <w:t xml:space="preserve"> (Notice ARC 2970C, IAB 3/15/17)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9957C</w:t>
      </w:r>
      <w:r>
        <w:rPr>
          <w:rFonts w:ascii="Times New Roman" w:hAnsi="Times New Roman"/>
          <w:b w:val="false"/>
          <w:i w:val="false"/>
          <w:color w:val="000000"/>
          <w:sz w:val="21"/>
        </w:rPr>
        <w:t xml:space="preserve"> (Notice ARC 9665C, IAB 11/12/25)</w:t>
      </w:r>
      <w:r>
        <w:rPr>
          <w:rFonts w:ascii="Times New Roman" w:hAnsi="Times New Roman"/>
          <w:b w:val="false"/>
          <w:i w:val="false"/>
          <w:color w:val="000000"/>
          <w:sz w:val="21"/>
        </w:rPr>
        <w:t>, IAB 1/7/26, effective 3/1/26]</w:t>
      </w:r>
    </w:p>
    <w:sectPr>
      <w:footerReference r:id="rId10"/>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181.pdf" Type="http://schemas.openxmlformats.org/officeDocument/2006/relationships/hyperlink" Id="rId5"/>
    <Relationship TargetMode="External" Target="https://www.legis.iowa.gov/docs/ico/chapter/135.181.pdf" Type="http://schemas.openxmlformats.org/officeDocument/2006/relationships/hyperlink" Id="rId6"/>
    <Relationship TargetMode="External" Target="https://www.legis.iowa.gov/docs/iac/chapter/441.7.pdf" Type="http://schemas.openxmlformats.org/officeDocument/2006/relationships/hyperlink" Id="rId7"/>
    <Relationship TargetMode="External" Target="https://www.legis.iowa.gov/docs/iac/chapter/441.7.pdf" Type="http://schemas.openxmlformats.org/officeDocument/2006/relationships/hyperlink" Id="rId8"/>
    <Relationship TargetMode="External" Target="https://www.legis.iowa.gov/docs/ico/chapter/135.181.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