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w:t>
      </w:r>
    </w:p>
    <w:p>
      <w:pPr>
        <w:spacing w:before="0" w:after="0"/>
        <w:ind w:left="120"/>
        <w:jc w:val="center"/>
      </w:pPr>
      <w:r>
        <w:rPr>
          <w:rFonts w:ascii="Times New Roman" w:hAnsi="Times New Roman"/>
          <w:b w:val="false"/>
          <w:i w:val="false"/>
          <w:color w:val="000000"/>
          <w:sz w:val="21"/>
        </w:rPr>
        <w:t>ADULT DAY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481—70.1</w:t>
      </w:r>
      <w:r>
        <w:rPr>
          <w:rFonts w:ascii="Times New Roman" w:hAnsi="Times New Roman"/>
          <w:b/>
          <w:i w:val="false"/>
          <w:color w:val="000000"/>
          <w:sz w:val="22"/>
        </w:rPr>
        <w:t xml:space="preserve">(231D)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requirements” </w:t>
      </w:r>
      <w:r>
        <w:rPr>
          <w:rFonts w:ascii="Times New Roman" w:hAnsi="Times New Roman"/>
          <w:b w:val="false"/>
          <w:i w:val="false"/>
          <w:color w:val="000000"/>
          <w:sz w:val="22"/>
        </w:rPr>
        <w:t xml:space="preserve">means the requirements in Iowa Code chapter </w:t>
      </w:r>
      <w:hyperlink r:id="rId7">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this chapter,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“CARF” </w:t>
      </w:r>
      <w:r>
        <w:rPr>
          <w:rFonts w:ascii="Times New Roman" w:hAnsi="Times New Roman"/>
          <w:b w:val="false"/>
          <w:i w:val="false"/>
          <w:color w:val="000000"/>
          <w:sz w:val="22"/>
        </w:rPr>
        <w:t>means the Commission on Accreditation of Rehabilitation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“Cognitive disorder” </w:t>
      </w:r>
      <w:r>
        <w:rPr>
          <w:rFonts w:ascii="Times New Roman" w:hAnsi="Times New Roman"/>
          <w:b w:val="false"/>
          <w:i w:val="false"/>
          <w:color w:val="000000"/>
          <w:sz w:val="22"/>
        </w:rPr>
        <w:t>means a disorder characterized by cognitive dysfunction presumed to be the result of illness that does not meet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“Dementia-specific adult day services program” </w:t>
      </w:r>
      <w:r>
        <w:rPr>
          <w:rFonts w:ascii="Times New Roman" w:hAnsi="Times New Roman"/>
          <w:b w:val="false"/>
          <w:i w:val="false"/>
          <w:color w:val="000000"/>
          <w:sz w:val="22"/>
        </w:rPr>
        <w:t>means an adult day services program certified under this chapter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fewer than 55 participants and has 5 or more participants who have dementia between Stages 4 and 7 on the Global Deterioration Scale,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Serves 55 or more participants and 10 percent or more of the participants have dementia between Stages 4 and 7 on the Global Deterioration Scale,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Holds itself out as providing specialized care for persons with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“Maximal assistance with activities of daily living”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unstable” </w:t>
      </w:r>
      <w:r>
        <w:rPr>
          <w:rFonts w:ascii="Times New Roman" w:hAnsi="Times New Roman"/>
          <w:b w:val="false"/>
          <w:i w:val="false"/>
          <w:color w:val="000000"/>
          <w:sz w:val="22"/>
        </w:rPr>
        <w:t>means that a participant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three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frequent supervision of the participant for more than 21 days by a registered nurse.</w:t>
      </w:r>
    </w:p>
    <w:p>
      <w:pPr>
        <w:spacing w:before="0" w:after="0"/>
        <w:ind w:left="120"/>
        <w:jc w:val="both"/>
      </w:pPr>
      <w:r>
        <w:rPr>
          <w:rFonts w:ascii="Times New Roman" w:hAnsi="Times New Roman"/>
          <w:b w:val="false"/>
          <w:i w:val="false"/>
          <w:color w:val="000000"/>
          <w:sz w:val="22"/>
        </w:rPr>
        <w:t>For example, a participant who has a condition such as congestive heart failure that results in three or more significant hospitalizations during a quarter and that requires that the participant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incontinence” </w:t>
      </w:r>
      <w:r>
        <w:rPr>
          <w:rFonts w:ascii="Times New Roman" w:hAnsi="Times New Roman"/>
          <w:b w:val="false"/>
          <w:i w:val="false"/>
          <w:color w:val="000000"/>
          <w:sz w:val="22"/>
        </w:rPr>
        <w:t>means a condition that requires staff provision of total care for an incontinent participant who lacks the ability to assist in bladder or bowel continence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“Visiting day(s)” </w:t>
      </w:r>
      <w:r>
        <w:rPr>
          <w:rFonts w:ascii="Times New Roman" w:hAnsi="Times New Roman"/>
          <w:b w:val="false"/>
          <w:i w:val="false"/>
          <w:color w:val="000000"/>
          <w:sz w:val="22"/>
        </w:rPr>
        <w:t>means up to 16 hours in a two-day period during which a person may visit a program prior to admission for the purpose of assessing eligibility for the program and personal satisfaction.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w:t>
      </w:r>
      <w:r>
        <w:rPr>
          <w:rFonts w:ascii="Times New Roman" w:hAnsi="Times New Roman"/>
          <w:b/>
          <w:i w:val="false"/>
          <w:color w:val="000000"/>
          <w:sz w:val="22"/>
        </w:rPr>
        <w:t xml:space="preserve">(231D) </w:t>
      </w:r>
      <w:r>
        <w:rPr>
          <w:rFonts w:ascii="Times New Roman" w:hAnsi="Times New Roman"/>
          <w:b/>
          <w:i w:val="false"/>
          <w:color w:val="000000"/>
          <w:sz w:val="22"/>
        </w:rPr>
        <w:t xml:space="preserve">Program certification. </w:t>
      </w:r>
      <w:r>
        <w:rPr>
          <w:rFonts w:ascii="Times New Roman" w:hAnsi="Times New Roman"/>
          <w:b w:val="false"/>
          <w:i w:val="false"/>
          <w:color w:val="000000"/>
          <w:sz w:val="22"/>
        </w:rPr>
        <w:t>A program may obtain certification by meeting all applicable requirements or being voluntarily accredited by a recognized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The latest monitoring report, fire safety bureau report, and food establishment inspections report issued pursuant to Iowa Code chapter </w:t>
      </w:r>
      <w:hyperlink r:id="rId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programs. </w:t>
      </w:r>
      <w:r>
        <w:rPr>
          <w:rFonts w:ascii="Times New Roman" w:hAnsi="Times New Roman"/>
          <w:b w:val="false"/>
          <w:i w:val="false"/>
          <w:color w:val="000000"/>
          <w:sz w:val="22"/>
        </w:rPr>
        <w:t xml:space="preserve">If a program meets the definition of a dementia-specific adult day services program during two sequential certification monitorings, the program shall meet all requirements for a dementia-specific program, including the requirements set forth in rule </w:t>
      </w:r>
      <w:hyperlink r:id="rId10">
        <w:r>
          <w:rPr>
            <w:rStyle w:val="Hyperlink"/>
            <w:rFonts w:ascii="Times New Roman" w:hAnsi="Times New Roman"/>
            <w:b w:val="false"/>
            <w:i w:val="false"/>
            <w:color w:val="000000"/>
            <w:sz w:val="22"/>
          </w:rPr>
          <w:t>481—70.30</w:t>
        </w:r>
      </w:hyperlink>
      <w:r>
        <w:rPr>
          <w:rFonts w:ascii="Times New Roman" w:hAnsi="Times New Roman"/>
          <w:b w:val="false"/>
          <w:i w:val="false"/>
          <w:color w:val="000000"/>
          <w:sz w:val="22"/>
        </w:rPr>
        <w:t xml:space="preserve">(231D) and in subrule </w:t>
      </w:r>
      <w:hyperlink r:id="rId11">
        <w:r>
          <w:rPr>
            <w:rStyle w:val="Hyperlink"/>
            <w:rFonts w:ascii="Times New Roman" w:hAnsi="Times New Roman"/>
            <w:b w:val="false"/>
            <w:i w:val="false"/>
            <w:color w:val="000000"/>
            <w:sz w:val="22"/>
          </w:rPr>
          <w:t>70.32(2)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of a nonaccredited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 health facilities division website at </w:t>
      </w:r>
      <w:hyperlink r:id="rId1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the above address at least 90 calendar days prior to the expected date of beginning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481—70.4</w:t>
      </w:r>
      <w:r>
        <w:rPr>
          <w:rFonts w:ascii="Times New Roman" w:hAnsi="Times New Roman"/>
          <w:b/>
          <w:i w:val="false"/>
          <w:color w:val="000000"/>
          <w:sz w:val="22"/>
        </w:rPr>
        <w:t xml:space="preserve">(231D) </w:t>
      </w:r>
      <w:r>
        <w:rPr>
          <w:rFonts w:ascii="Times New Roman" w:hAnsi="Times New Roman"/>
          <w:b/>
          <w:i w:val="false"/>
          <w:color w:val="000000"/>
          <w:sz w:val="22"/>
        </w:rPr>
        <w:t xml:space="preserve">Nonaccredited program—application content. </w:t>
      </w:r>
      <w:r>
        <w:rPr>
          <w:rFonts w:ascii="Times New Roman" w:hAnsi="Times New Roman"/>
          <w:b w:val="false"/>
          <w:i w:val="false"/>
          <w:color w:val="000000"/>
          <w:sz w:val="22"/>
        </w:rPr>
        <w:t>An application for certification or recertification of a nonaccredited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will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3">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4">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fall under the provisions in Iowa Code section </w:t>
      </w:r>
      <w:hyperlink r:id="rId15">
        <w:r>
          <w:rPr>
            <w:rStyle w:val="Hyperlink"/>
            <w:rFonts w:ascii="Times New Roman" w:hAnsi="Times New Roman"/>
            <w:b w:val="false"/>
            <w:i w:val="false"/>
            <w:color w:val="000000"/>
            <w:sz w:val="22"/>
          </w:rPr>
          <w:t>231D.5</w:t>
        </w:r>
      </w:hyperlink>
      <w:r>
        <w:rPr>
          <w:rFonts w:ascii="Times New Roman" w:hAnsi="Times New Roman"/>
          <w:b w:val="false"/>
          <w:i w:val="false"/>
          <w:color w:val="000000"/>
          <w:sz w:val="22"/>
        </w:rPr>
        <w:t xml:space="preserve">, including for a licensed health care facility as defined in Iowa Code section </w:t>
      </w:r>
      <w:hyperlink r:id="rId1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a licensed hospital as defined in Iowa Code section </w:t>
      </w:r>
      <w:hyperlink r:id="rId1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70.4(4)</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70.4(5)</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70.4(6)</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18">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w:t>
      </w:r>
      <w:r>
        <w:rPr>
          <w:rFonts w:ascii="Times New Roman" w:hAnsi="Times New Roman"/>
          <w:b/>
          <w:i w:val="false"/>
          <w:color w:val="000000"/>
          <w:sz w:val="22"/>
        </w:rPr>
        <w:t xml:space="preserve">(231D) </w:t>
      </w:r>
      <w:r>
        <w:rPr>
          <w:rFonts w:ascii="Times New Roman" w:hAnsi="Times New Roman"/>
          <w:b/>
          <w:i w:val="false"/>
          <w:color w:val="000000"/>
          <w:sz w:val="22"/>
        </w:rPr>
        <w:t xml:space="preserve">Initial certification process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building code and fire safety bureau approval and structural and evacuation review approval, the department will determine whether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proposed program meets the requirements for certification, a provisional certification will be issued to the program to begin operation and accept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will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19">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program of a final certification decision within ten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will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481—70.6</w:t>
      </w:r>
      <w:r>
        <w:rPr>
          <w:rFonts w:ascii="Times New Roman" w:hAnsi="Times New Roman"/>
          <w:b/>
          <w:i w:val="false"/>
          <w:color w:val="000000"/>
          <w:sz w:val="22"/>
        </w:rPr>
        <w:t xml:space="preserve">(231D) </w:t>
      </w:r>
      <w:r>
        <w:rPr>
          <w:rFonts w:ascii="Times New Roman" w:hAnsi="Times New Roman"/>
          <w:b/>
          <w:i w:val="false"/>
          <w:color w:val="000000"/>
          <w:sz w:val="22"/>
        </w:rPr>
        <w:t xml:space="preserve">Expiration of the certification of a nonaccredited program. </w:t>
      </w:r>
      <w:r>
        <w:rPr>
          <w:rFonts w:ascii="Times New Roman" w:hAnsi="Times New Roman"/>
          <w:b w:val="false"/>
          <w:i w:val="false"/>
          <w:color w:val="000000"/>
          <w:sz w:val="22"/>
        </w:rPr>
        <w:t>Unless conditionally issued, suspended or revoked, certification of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481—70.7</w:t>
      </w:r>
      <w:r>
        <w:rPr>
          <w:rFonts w:ascii="Times New Roman" w:hAnsi="Times New Roman"/>
          <w:b/>
          <w:i w:val="false"/>
          <w:color w:val="000000"/>
          <w:sz w:val="22"/>
        </w:rPr>
        <w:t xml:space="preserve">(231D) </w:t>
      </w:r>
      <w:r>
        <w:rPr>
          <w:rFonts w:ascii="Times New Roman" w:hAnsi="Times New Roman"/>
          <w:b/>
          <w:i w:val="false"/>
          <w:color w:val="000000"/>
          <w:sz w:val="22"/>
        </w:rPr>
        <w:t xml:space="preserve">Recertification process for a nonaccredited program.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associated documentation, and the recertification fee as listed in Iowa Code section </w:t>
      </w:r>
      <w:hyperlink r:id="rId20">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 xml:space="preserve"> to the department at the address stated in subrule </w:t>
      </w:r>
      <w:hyperlink r:id="rId21">
        <w:r>
          <w:rPr>
            <w:rStyle w:val="Hyperlink"/>
            <w:rFonts w:ascii="Times New Roman" w:hAnsi="Times New Roman"/>
            <w:b w:val="false"/>
            <w:i w:val="false"/>
            <w:color w:val="000000"/>
            <w:sz w:val="22"/>
          </w:rPr>
          <w:t>70.3(1)</w:t>
        </w:r>
      </w:hyperlink>
      <w:r>
        <w:rPr>
          <w:rFonts w:ascii="Times New Roman" w:hAnsi="Times New Roman"/>
          <w:b w:val="false"/>
          <w:i w:val="false"/>
          <w:color w:val="000000"/>
          <w:sz w:val="22"/>
        </w:rPr>
        <w:t xml:space="preserve">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by a qualified professional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481—70.8</w:t>
      </w:r>
      <w:r>
        <w:rPr>
          <w:rFonts w:ascii="Times New Roman" w:hAnsi="Times New Roman"/>
          <w:b/>
          <w:i w:val="false"/>
          <w:color w:val="000000"/>
          <w:sz w:val="22"/>
        </w:rPr>
        <w:t xml:space="preserve">(231D) </w:t>
      </w:r>
      <w:r>
        <w:rPr>
          <w:rFonts w:ascii="Times New Roman" w:hAnsi="Times New Roman"/>
          <w:b/>
          <w:i w:val="false"/>
          <w:color w:val="000000"/>
          <w:sz w:val="22"/>
        </w:rPr>
        <w:t xml:space="preserve">Notification of recertification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associated documentation and fees. After all finalized documentation is received, including building code and fire safety bureau approval, the department will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the department will issue the program a two-year certification effective from the date of the expiration of the previous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481—70.9</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or recertification of an accredited program—application process. </w:t>
      </w:r>
      <w:r>
        <w:rPr>
          <w:rFonts w:ascii="Times New Roman" w:hAnsi="Times New Roman"/>
          <w:b w:val="false"/>
          <w:i w:val="false"/>
          <w:color w:val="000000"/>
          <w:sz w:val="22"/>
        </w:rPr>
        <w:t>An applicant for certification or recertification of a program accredited by a recognized accrediting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packet obtained from the department health facilities division website at </w:t>
      </w:r>
      <w:hyperlink r:id="rId2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70.9(2)</w:t>
      </w:r>
      <w:r>
        <w:rPr>
          <w:rFonts w:ascii="Times New Roman" w:hAnsi="Times New Roman"/>
          <w:b w:val="false"/>
          <w:i w:val="false"/>
          <w:color w:val="000000"/>
          <w:sz w:val="22"/>
        </w:rPr>
        <w:t> </w:t>
      </w:r>
      <w:r>
        <w:rPr>
          <w:rFonts w:ascii="Times New Roman" w:hAnsi="Times New Roman"/>
          <w:b w:val="false"/>
          <w:i w:val="false"/>
          <w:color w:val="000000"/>
          <w:sz w:val="22"/>
        </w:rPr>
        <w:t>Submit a copy of the current accreditation outcome from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70.9(3)</w:t>
      </w:r>
      <w:r>
        <w:rPr>
          <w:rFonts w:ascii="Times New Roman" w:hAnsi="Times New Roman"/>
          <w:b w:val="false"/>
          <w:i w:val="false"/>
          <w:color w:val="000000"/>
          <w:sz w:val="22"/>
        </w:rPr>
        <w:t> </w:t>
      </w:r>
      <w:r>
        <w:rPr>
          <w:rFonts w:ascii="Times New Roman" w:hAnsi="Times New Roman"/>
          <w:b w:val="false"/>
          <w:i w:val="false"/>
          <w:color w:val="000000"/>
          <w:sz w:val="22"/>
        </w:rPr>
        <w:t>Maintain compliance with the requirements of the building code and fire safety bureau of the department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fees as set forth in Iowa Code section </w:t>
      </w:r>
      <w:hyperlink r:id="rId23">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481—70.10</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or recertification of an accredited program—application content. </w:t>
      </w:r>
      <w:r>
        <w:rPr>
          <w:rFonts w:ascii="Times New Roman" w:hAnsi="Times New Roman"/>
          <w:b w:val="false"/>
          <w:i w:val="false"/>
          <w:color w:val="000000"/>
          <w:sz w:val="22"/>
        </w:rPr>
        <w:t xml:space="preserve">An application for certification or recertification of an accredited program shall comply with rule </w:t>
      </w:r>
      <w:hyperlink r:id="rId24">
        <w:r>
          <w:rPr>
            <w:rStyle w:val="Hyperlink"/>
            <w:rFonts w:ascii="Times New Roman" w:hAnsi="Times New Roman"/>
            <w:b w:val="false"/>
            <w:i w:val="false"/>
            <w:color w:val="000000"/>
            <w:sz w:val="22"/>
          </w:rPr>
          <w:t>481—70.4</w:t>
        </w:r>
      </w:hyperlink>
      <w:r>
        <w:rPr>
          <w:rFonts w:ascii="Times New Roman" w:hAnsi="Times New Roman"/>
          <w:b w:val="false"/>
          <w:i w:val="false"/>
          <w:color w:val="000000"/>
          <w:sz w:val="22"/>
        </w:rPr>
        <w:t>(231D) and include a copy of the current accreditation outcome from the recognized accrediting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481—70.11</w:t>
      </w:r>
      <w:r>
        <w:rPr>
          <w:rFonts w:ascii="Times New Roman" w:hAnsi="Times New Roman"/>
          <w:b/>
          <w:i w:val="false"/>
          <w:color w:val="000000"/>
          <w:sz w:val="22"/>
        </w:rPr>
        <w:t xml:space="preserve">(231D) </w:t>
      </w:r>
      <w:r>
        <w:rPr>
          <w:rFonts w:ascii="Times New Roman" w:hAnsi="Times New Roman"/>
          <w:b/>
          <w:i w:val="false"/>
          <w:color w:val="000000"/>
          <w:sz w:val="22"/>
        </w:rPr>
        <w:t xml:space="preserve">Initial 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70.11(1)</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building code and fire safety bureau approval, the department will notify the accredited program whether the accredited program meets applicable requirements and whether certification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70.11(2)</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certify, a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certification, the department will provide the applicant an opportunity for hearing in accordance with rule </w:t>
      </w:r>
      <w:hyperlink r:id="rId25">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481—70.12</w:t>
      </w:r>
      <w:r>
        <w:rPr>
          <w:rFonts w:ascii="Times New Roman" w:hAnsi="Times New Roman"/>
          <w:b/>
          <w:i w:val="false"/>
          <w:color w:val="000000"/>
          <w:sz w:val="22"/>
        </w:rPr>
        <w:t xml:space="preserve">(231D) </w:t>
      </w:r>
      <w:r>
        <w:rPr>
          <w:rFonts w:ascii="Times New Roman" w:hAnsi="Times New Roman"/>
          <w:b/>
          <w:i w:val="false"/>
          <w:color w:val="000000"/>
          <w:sz w:val="22"/>
        </w:rPr>
        <w:t xml:space="preserve">Recertification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recertification, an accredited program shall comply with rule </w:t>
      </w:r>
      <w:hyperlink r:id="rId26">
        <w:r>
          <w:rPr>
            <w:rStyle w:val="Hyperlink"/>
            <w:rFonts w:ascii="Times New Roman" w:hAnsi="Times New Roman"/>
            <w:b w:val="false"/>
            <w:i w:val="false"/>
            <w:color w:val="000000"/>
            <w:sz w:val="22"/>
          </w:rPr>
          <w:t>481—70.9</w:t>
        </w:r>
      </w:hyperlink>
      <w:r>
        <w:rPr>
          <w:rFonts w:ascii="Times New Roman" w:hAnsi="Times New Roman"/>
          <w:b w:val="false"/>
          <w:i w:val="false"/>
          <w:color w:val="000000"/>
          <w:sz w:val="22"/>
        </w:rPr>
        <w:t>(231D)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facility is in good standing, a full certification shall be issued for the term of the accreditation not to exceed three years, unless the certification is conditionally issued, suspended or revoked by either the department or the recognized accrediting entity. If the decision is to deny recertification, the department will provide the applicant an opportunity for hearing in accordance with rule </w:t>
      </w:r>
      <w:hyperlink r:id="rId27">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481—70.13</w:t>
      </w:r>
      <w:r>
        <w:rPr>
          <w:rFonts w:ascii="Times New Roman" w:hAnsi="Times New Roman"/>
          <w:b/>
          <w:i w:val="false"/>
          <w:color w:val="000000"/>
          <w:sz w:val="22"/>
        </w:rPr>
        <w:t xml:space="preserve">(231D)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will maintain a list of all certified programs, which is available online at </w:t>
      </w:r>
      <w:hyperlink r:id="rId28">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481—70.14</w:t>
      </w:r>
      <w:r>
        <w:rPr>
          <w:rFonts w:ascii="Times New Roman" w:hAnsi="Times New Roman"/>
          <w:b/>
          <w:i w:val="false"/>
          <w:color w:val="000000"/>
          <w:sz w:val="22"/>
        </w:rPr>
        <w:t xml:space="preserve">(231D) </w:t>
      </w:r>
      <w:r>
        <w:rPr>
          <w:rFonts w:ascii="Times New Roman" w:hAnsi="Times New Roman"/>
          <w:b/>
          <w:i w:val="false"/>
          <w:color w:val="000000"/>
          <w:sz w:val="22"/>
        </w:rPr>
        <w:t xml:space="preserve">Recognized accrediting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70.14(1)</w:t>
      </w:r>
      <w:r>
        <w:rPr>
          <w:rFonts w:ascii="Times New Roman" w:hAnsi="Times New Roman"/>
          <w:b w:val="false"/>
          <w:i w:val="false"/>
          <w:color w:val="000000"/>
          <w:sz w:val="22"/>
        </w:rPr>
        <w:t> </w:t>
      </w:r>
      <w:r>
        <w:rPr>
          <w:rFonts w:ascii="Times New Roman" w:hAnsi="Times New Roman"/>
          <w:b w:val="false"/>
          <w:i w:val="false"/>
          <w:color w:val="000000"/>
          <w:sz w:val="22"/>
        </w:rPr>
        <w:t>The department designates CARF as a recognized accrediting entity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70.14(2)</w:t>
      </w:r>
      <w:r>
        <w:rPr>
          <w:rFonts w:ascii="Times New Roman" w:hAnsi="Times New Roman"/>
          <w:b w:val="false"/>
          <w:i w:val="false"/>
          <w:color w:val="000000"/>
          <w:sz w:val="22"/>
        </w:rPr>
        <w:t> </w:t>
      </w:r>
      <w:r>
        <w:rPr>
          <w:rFonts w:ascii="Times New Roman" w:hAnsi="Times New Roman"/>
          <w:b w:val="false"/>
          <w:i w:val="false"/>
          <w:color w:val="000000"/>
          <w:sz w:val="22"/>
        </w:rPr>
        <w:t>To apply for designation by the department as a recognized accrediting entity for programs, an accrediting entity shall submit a letter of request and its standards shall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70.14(3)</w:t>
      </w:r>
      <w:r>
        <w:rPr>
          <w:rFonts w:ascii="Times New Roman" w:hAnsi="Times New Roman"/>
          <w:b w:val="false"/>
          <w:i w:val="false"/>
          <w:color w:val="000000"/>
          <w:sz w:val="22"/>
        </w:rPr>
        <w:t> </w:t>
      </w:r>
      <w:r>
        <w:rPr>
          <w:rFonts w:ascii="Times New Roman" w:hAnsi="Times New Roman"/>
          <w:b w:val="false"/>
          <w:i w:val="false"/>
          <w:color w:val="000000"/>
          <w:sz w:val="22"/>
        </w:rPr>
        <w:t>The designation will remain in effect for as long as the accreditation standards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70.14(4)</w:t>
      </w:r>
      <w:r>
        <w:rPr>
          <w:rFonts w:ascii="Times New Roman" w:hAnsi="Times New Roman"/>
          <w:b w:val="false"/>
          <w:i w:val="false"/>
          <w:color w:val="000000"/>
          <w:sz w:val="22"/>
        </w:rPr>
        <w:t> </w:t>
      </w:r>
      <w:r>
        <w:rPr>
          <w:rFonts w:ascii="Times New Roman" w:hAnsi="Times New Roman"/>
          <w:b w:val="false"/>
          <w:i w:val="false"/>
          <w:color w:val="000000"/>
          <w:sz w:val="22"/>
        </w:rPr>
        <w:t>An accrediting entity shall provide annually to the department, at no cost, a current edition of the applicable standards manual and survey preparation guide, and training thereon, within 120 working days after the publications are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481—70.15</w:t>
      </w:r>
      <w:r>
        <w:rPr>
          <w:rFonts w:ascii="Times New Roman" w:hAnsi="Times New Roman"/>
          <w:b/>
          <w:i w:val="false"/>
          <w:color w:val="000000"/>
          <w:sz w:val="22"/>
        </w:rPr>
        <w:t xml:space="preserve">(231D) </w:t>
      </w:r>
      <w:r>
        <w:rPr>
          <w:rFonts w:ascii="Times New Roman" w:hAnsi="Times New Roman"/>
          <w:b/>
          <w:i w:val="false"/>
          <w:color w:val="000000"/>
          <w:sz w:val="22"/>
        </w:rPr>
        <w:t xml:space="preserve">Requirements for an accredited program. </w:t>
      </w:r>
      <w:r>
        <w:rPr>
          <w:rFonts w:ascii="Times New Roman" w:hAnsi="Times New Roman"/>
          <w:b w:val="false"/>
          <w:i w:val="false"/>
          <w:color w:val="000000"/>
          <w:sz w:val="22"/>
        </w:rPr>
        <w:t>Each accredited program that is certified by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70.15(1)</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 copy of all survey reports including outcomes, quality improvement plans and annual conformance to quality reports generated or received, as applicable, within ten working days of receipt of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by the most expeditious means possible of all credible reports of alleged improper or inappropriate conduct or conditions within the program and any actions taken by the accrediting entity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70.15(3)</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of the expiration, suspension, revocation or other loss of the program’s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481—70.16</w:t>
      </w:r>
      <w:r>
        <w:rPr>
          <w:rFonts w:ascii="Times New Roman" w:hAnsi="Times New Roman"/>
          <w:b/>
          <w:i w:val="false"/>
          <w:color w:val="000000"/>
          <w:sz w:val="22"/>
        </w:rPr>
        <w:t xml:space="preserve">(231D) </w:t>
      </w:r>
      <w:r>
        <w:rPr>
          <w:rFonts w:ascii="Times New Roman" w:hAnsi="Times New Roman"/>
          <w:b/>
          <w:i w:val="false"/>
          <w:color w:val="000000"/>
          <w:sz w:val="22"/>
        </w:rPr>
        <w:t xml:space="preserve">Maintenance of program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70.16(1)</w:t>
      </w:r>
      <w:r>
        <w:rPr>
          <w:rFonts w:ascii="Times New Roman" w:hAnsi="Times New Roman"/>
          <w:b w:val="false"/>
          <w:i w:val="false"/>
          <w:color w:val="000000"/>
          <w:sz w:val="22"/>
        </w:rPr>
        <w:t> </w:t>
      </w:r>
      <w:r>
        <w:rPr>
          <w:rFonts w:ascii="Times New Roman" w:hAnsi="Times New Roman"/>
          <w:b w:val="false"/>
          <w:i w:val="false"/>
          <w:color w:val="000000"/>
          <w:sz w:val="22"/>
        </w:rPr>
        <w:t>An accredited program will continue to be recognized for certification by the department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complies with the requirements outlined in rule </w:t>
      </w:r>
      <w:hyperlink r:id="rId29">
        <w:r>
          <w:rPr>
            <w:rStyle w:val="Hyperlink"/>
            <w:rFonts w:ascii="Times New Roman" w:hAnsi="Times New Roman"/>
            <w:b w:val="false"/>
            <w:i w:val="false"/>
            <w:color w:val="000000"/>
            <w:sz w:val="22"/>
          </w:rPr>
          <w:t>481—70.15</w:t>
        </w:r>
      </w:hyperlink>
      <w:r>
        <w:rPr>
          <w:rFonts w:ascii="Times New Roman" w:hAnsi="Times New Roman"/>
          <w:b w:val="false"/>
          <w:i w:val="false"/>
          <w:color w:val="000000"/>
          <w:sz w:val="22"/>
        </w:rPr>
        <w:t>(231D).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maintains its voluntary accreditation status for the duration of the time-limited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70.16(2)</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must become certified by the department prior to any lapse in accreditation or cease operation as a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481—70.17</w:t>
      </w:r>
      <w:r>
        <w:rPr>
          <w:rFonts w:ascii="Times New Roman" w:hAnsi="Times New Roman"/>
          <w:b/>
          <w:i w:val="false"/>
          <w:color w:val="000000"/>
          <w:sz w:val="22"/>
        </w:rPr>
        <w:t xml:space="preserve">(231D)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30">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provide application and supporting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will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481—70.18</w:t>
      </w:r>
      <w:r>
        <w:rPr>
          <w:rFonts w:ascii="Times New Roman" w:hAnsi="Times New Roman"/>
          <w:b/>
          <w:i w:val="false"/>
          <w:color w:val="000000"/>
          <w:sz w:val="22"/>
        </w:rPr>
        <w:t xml:space="preserve">(231D) </w:t>
      </w:r>
      <w:r>
        <w:rPr>
          <w:rFonts w:ascii="Times New Roman" w:hAnsi="Times New Roman"/>
          <w:b/>
          <w:i w:val="false"/>
          <w:color w:val="000000"/>
          <w:sz w:val="22"/>
        </w:rPr>
        <w:t xml:space="preserve">Plan reviews of a building for a new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70.18(1)</w:t>
      </w:r>
      <w:r>
        <w:rPr>
          <w:rFonts w:ascii="Times New Roman" w:hAnsi="Times New Roman"/>
          <w:b w:val="false"/>
          <w:i w:val="false"/>
          <w:color w:val="000000"/>
          <w:sz w:val="22"/>
        </w:rPr>
        <w:t> </w:t>
      </w:r>
      <w:r>
        <w:rPr>
          <w:rFonts w:ascii="Times New Roman" w:hAnsi="Times New Roman"/>
          <w:b w:val="false"/>
          <w:i w:val="false"/>
          <w:color w:val="000000"/>
          <w:sz w:val="22"/>
        </w:rPr>
        <w:t>Before a building is constructed or remodeled for use in a new program, the state building code bureau shall review the blueprints for compliance with requirements pursuant to this chapter. Construction or remodeling includes new construction, remodeling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applicant shall submit construction documents to the building code bureau’s online portal at </w:t>
      </w:r>
      <w:hyperlink r:id="rId32">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will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regarding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requirements, construction or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70.18(7)</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will schedule an on-site visit of the building site with the contractor, or Iowa-licensed architect or Iowa-licensed engineer, during the construction or remodeling process to ensure compliance with the approved construction documents. Any noncompliance must be resolved prior to approval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481—70.19</w:t>
      </w:r>
      <w:r>
        <w:rPr>
          <w:rFonts w:ascii="Times New Roman" w:hAnsi="Times New Roman"/>
          <w:b/>
          <w:i w:val="false"/>
          <w:color w:val="000000"/>
          <w:sz w:val="22"/>
        </w:rPr>
        <w:t xml:space="preserve">(231D) </w:t>
      </w:r>
      <w:r>
        <w:rPr>
          <w:rFonts w:ascii="Times New Roman" w:hAnsi="Times New Roman"/>
          <w:b/>
          <w:i w:val="false"/>
          <w:color w:val="000000"/>
          <w:sz w:val="22"/>
        </w:rPr>
        <w:t xml:space="preserve">Plan review prior to the remodeling of a building for a certified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building for a certified program is remodeled as defined in subrule </w:t>
      </w:r>
      <w:hyperlink r:id="rId33">
        <w:r>
          <w:rPr>
            <w:rStyle w:val="Hyperlink"/>
            <w:rFonts w:ascii="Times New Roman" w:hAnsi="Times New Roman"/>
            <w:b w:val="false"/>
            <w:i w:val="false"/>
            <w:color w:val="000000"/>
            <w:sz w:val="22"/>
          </w:rPr>
          <w:t>70.18(1)</w:t>
        </w:r>
      </w:hyperlink>
      <w:r>
        <w:rPr>
          <w:rFonts w:ascii="Times New Roman" w:hAnsi="Times New Roman"/>
          <w:b w:val="false"/>
          <w:i w:val="false"/>
          <w:color w:val="000000"/>
          <w:sz w:val="22"/>
        </w:rPr>
        <w:t xml:space="preserve">, the building code bureau shall review the construction documents for compliance with requirements set forth in rule </w:t>
      </w:r>
      <w:hyperlink r:id="rId34">
        <w:r>
          <w:rPr>
            <w:rStyle w:val="Hyperlink"/>
            <w:rFonts w:ascii="Times New Roman" w:hAnsi="Times New Roman"/>
            <w:b w:val="false"/>
            <w:i w:val="false"/>
            <w:color w:val="000000"/>
            <w:sz w:val="22"/>
          </w:rPr>
          <w:t>481—70.35</w:t>
        </w:r>
      </w:hyperlink>
      <w:r>
        <w:rPr>
          <w:rFonts w:ascii="Times New Roman" w:hAnsi="Times New Roman"/>
          <w:b w:val="false"/>
          <w:i w:val="false"/>
          <w:color w:val="000000"/>
          <w:sz w:val="22"/>
        </w:rPr>
        <w:t>(231D).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program shall submit construction documents to the building code bureau’s online portal at </w:t>
      </w:r>
      <w:hyperlink r:id="rId35">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70.19(3)</w:t>
      </w:r>
      <w:r>
        <w:rPr>
          <w:rFonts w:ascii="Times New Roman" w:hAnsi="Times New Roman"/>
          <w:b w:val="false"/>
          <w:i w:val="false"/>
          <w:color w:val="000000"/>
          <w:sz w:val="22"/>
        </w:rPr>
        <w:t> </w:t>
      </w:r>
      <w:r>
        <w:rPr>
          <w:rFonts w:ascii="Times New Roman" w:hAnsi="Times New Roman"/>
          <w:b w:val="false"/>
          <w:i w:val="false"/>
          <w:color w:val="000000"/>
          <w:sz w:val="22"/>
        </w:rPr>
        <w:t>The documents won’t be reviewed until the fee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will review the documents within 35 working days of receipt and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in 20 working days to state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structural and life safety requirements,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70.19(7)</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will schedule an on-site visit of the building with the contractor, or Iowa-licensed architect or Iowa-licensed engineer, during the remodeling process to ensure compliance with the approved construction documents. Any noncompliance must be resolved prior to approval for continued certification or recertification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481—70.20</w:t>
      </w:r>
      <w:r>
        <w:rPr>
          <w:rFonts w:ascii="Times New Roman" w:hAnsi="Times New Roman"/>
          <w:b/>
          <w:i w:val="false"/>
          <w:color w:val="000000"/>
          <w:sz w:val="22"/>
        </w:rPr>
        <w:t xml:space="preserve">(231D) </w:t>
      </w:r>
      <w:r>
        <w:rPr>
          <w:rFonts w:ascii="Times New Roman" w:hAnsi="Times New Roman"/>
          <w:b/>
          <w:i w:val="false"/>
          <w:color w:val="000000"/>
          <w:sz w:val="22"/>
        </w:rPr>
        <w:t xml:space="preserve">Cessation of program operation that includes seeking 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at least 90 days in advance of cessation, unless there is some type of emergency, written notification to the department of the date on which the program will cease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the program shall submit a plan to the department and make arrangements for the safe and orderly discharge or transition of all participants within the 90-day period specified by subrule </w:t>
      </w:r>
      <w:hyperlink r:id="rId36">
        <w:r>
          <w:rPr>
            <w:rStyle w:val="Hyperlink"/>
            <w:rFonts w:ascii="Times New Roman" w:hAnsi="Times New Roman"/>
            <w:b w:val="false"/>
            <w:i w:val="false"/>
            <w:color w:val="000000"/>
            <w:sz w:val="22"/>
          </w:rPr>
          <w:t>70.20(1)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participants during the discharge process or transition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481—70.21</w:t>
      </w:r>
      <w:r>
        <w:rPr>
          <w:rFonts w:ascii="Times New Roman" w:hAnsi="Times New Roman"/>
          <w:b/>
          <w:i w:val="false"/>
          <w:color w:val="000000"/>
          <w:sz w:val="22"/>
        </w:rPr>
        <w:t xml:space="preserve">(231D) </w:t>
      </w:r>
      <w:r>
        <w:rPr>
          <w:rFonts w:ascii="Times New Roman" w:hAnsi="Times New Roman"/>
          <w:b/>
          <w:i w:val="false"/>
          <w:color w:val="000000"/>
          <w:sz w:val="22"/>
        </w:rPr>
        <w:t xml:space="preserve">Contractual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70.21(1)</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shall be in 12-point type or larger, written in plain language using commonly understood terms and easy for the participant or the participant’s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37">
        <w:r>
          <w:rPr>
            <w:rStyle w:val="Hyperlink"/>
            <w:rFonts w:ascii="Times New Roman" w:hAnsi="Times New Roman"/>
            <w:b w:val="false"/>
            <w:i w:val="false"/>
            <w:color w:val="000000"/>
            <w:sz w:val="22"/>
          </w:rPr>
          <w:t>231D.17</w:t>
        </w:r>
      </w:hyperlink>
      <w:r>
        <w:rPr>
          <w:rFonts w:ascii="Times New Roman" w:hAnsi="Times New Roman"/>
          <w:b w:val="false"/>
          <w:i w:val="false"/>
          <w:color w:val="000000"/>
          <w:sz w:val="22"/>
        </w:rPr>
        <w:t>, the written contractual agreement shall include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participants’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participant at least 90 days in advance of any planned program cessation,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admission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70.21(3)</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70.21(4)</w:t>
      </w:r>
      <w:r>
        <w:rPr>
          <w:rFonts w:ascii="Times New Roman" w:hAnsi="Times New Roman"/>
          <w:b w:val="false"/>
          <w:i w:val="false"/>
          <w:color w:val="000000"/>
          <w:sz w:val="22"/>
        </w:rPr>
        <w:t> </w:t>
      </w:r>
      <w:r>
        <w:rPr>
          <w:rFonts w:ascii="Times New Roman" w:hAnsi="Times New Roman"/>
          <w:b w:val="false"/>
          <w:i w:val="false"/>
          <w:color w:val="000000"/>
          <w:sz w:val="22"/>
        </w:rPr>
        <w:t>A copy of the contractual agreement shall be provided to the participant or the participant’s legal representative, if any, and a copy shall be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contractual agreement shall be made available to the general public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481—70.22</w:t>
      </w:r>
      <w:r>
        <w:rPr>
          <w:rFonts w:ascii="Times New Roman" w:hAnsi="Times New Roman"/>
          <w:b/>
          <w:i w:val="false"/>
          <w:color w:val="000000"/>
          <w:sz w:val="22"/>
        </w:rPr>
        <w:t xml:space="preserve">(231D) </w:t>
      </w:r>
      <w:r>
        <w:rPr>
          <w:rFonts w:ascii="Times New Roman" w:hAnsi="Times New Roman"/>
          <w:b/>
          <w:i w:val="false"/>
          <w:color w:val="000000"/>
          <w:sz w:val="22"/>
        </w:rPr>
        <w:t xml:space="preserve">Evaluation of participant.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participation. </w:t>
      </w:r>
      <w:r>
        <w:rPr>
          <w:rFonts w:ascii="Times New Roman" w:hAnsi="Times New Roman"/>
          <w:b w:val="false"/>
          <w:i w:val="false"/>
          <w:color w:val="000000"/>
          <w:sz w:val="22"/>
        </w:rPr>
        <w:t>A program shall evaluate each prospective participant’s functional, cognitive and health status prior to the participant’s signing the contractual agreement and participating in the program, with the exception of visiting day(s), to determine the participant’s eligibility for the program, including whether the services needed are available. The cognitive evaluation shall be appropriate to the population served. When the cognitive evaluation indicates moderate cognitive decline and risk, the Global Deterioration Scale shall be used at all subsequent intervals, if applicable. If the participant subsequently returns to the participant’s mildly cognitively impaired state, the program may discontinue the GDS and revert to a scored cognitive screening tool. The evaluation shall be conducted by a health care professional, human service professional, or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participation and with significant change. </w:t>
      </w:r>
      <w:r>
        <w:rPr>
          <w:rFonts w:ascii="Times New Roman" w:hAnsi="Times New Roman"/>
          <w:b w:val="false"/>
          <w:i w:val="false"/>
          <w:color w:val="000000"/>
          <w:sz w:val="22"/>
        </w:rPr>
        <w:t>A program shall evaluate each participant’s functional, cognitive and health status within 30 days of the participant’s beginning participation in the program. A program shall evaluate each participant’s functional, cognitive and health status as needed with significant change, but not less than annually, to determine the participant’s continued eligibility for the program and to determine any changes to services needed. The evaluation shall be conducted by a health care professional, human service professional, or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visiting day(s). </w:t>
      </w:r>
      <w:r>
        <w:rPr>
          <w:rFonts w:ascii="Times New Roman" w:hAnsi="Times New Roman"/>
          <w:b w:val="false"/>
          <w:i w:val="false"/>
          <w:color w:val="000000"/>
          <w:sz w:val="22"/>
        </w:rPr>
        <w:t>Evaluation of the participant is not required during visiting day(s), but the program shall provide the participant or the participant’s legal representative with a written explanation of the expectations for the visiting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481—70.23</w:t>
      </w:r>
      <w:r>
        <w:rPr>
          <w:rFonts w:ascii="Times New Roman" w:hAnsi="Times New Roman"/>
          <w:b/>
          <w:i w:val="false"/>
          <w:color w:val="000000"/>
          <w:sz w:val="22"/>
        </w:rPr>
        <w:t xml:space="preserve">(231D) </w:t>
      </w:r>
      <w:r>
        <w:rPr>
          <w:rFonts w:ascii="Times New Roman" w:hAnsi="Times New Roman"/>
          <w:b/>
          <w:i w:val="false"/>
          <w:color w:val="000000"/>
          <w:sz w:val="22"/>
        </w:rPr>
        <w:t xml:space="preserve">Criteria for admission and retention of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 xml:space="preserve">Criteria are set forth in Iowa Code section </w:t>
      </w:r>
      <w:hyperlink r:id="rId38">
        <w:r>
          <w:rPr>
            <w:rStyle w:val="Hyperlink"/>
            <w:rFonts w:ascii="Times New Roman" w:hAnsi="Times New Roman"/>
            <w:b w:val="false"/>
            <w:i w:val="false"/>
            <w:color w:val="000000"/>
            <w:sz w:val="22"/>
          </w:rPr>
          <w:t>231D.19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participation and discharge criteria. </w:t>
      </w:r>
      <w:r>
        <w:rPr>
          <w:rFonts w:ascii="Times New Roman" w:hAnsi="Times New Roman"/>
          <w:b w:val="false"/>
          <w:i w:val="false"/>
          <w:color w:val="000000"/>
          <w:sz w:val="22"/>
        </w:rPr>
        <w:t>A program may have additional participation or discharge criteria if the criteria are disclosed in the written contractual agreement prior to the participant’s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discharge from the program. </w:t>
      </w:r>
      <w:r>
        <w:rPr>
          <w:rFonts w:ascii="Times New Roman" w:hAnsi="Times New Roman"/>
          <w:b w:val="false"/>
          <w:i w:val="false"/>
          <w:color w:val="000000"/>
          <w:sz w:val="22"/>
        </w:rPr>
        <w:t>A program shall assist a participant and the participant’s legal representative, if applicable, to ensure a safe and orderly discharge from the program when the participant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481—70.24</w:t>
      </w:r>
      <w:r>
        <w:rPr>
          <w:rFonts w:ascii="Times New Roman" w:hAnsi="Times New Roman"/>
          <w:b/>
          <w:i w:val="false"/>
          <w:color w:val="000000"/>
          <w:sz w:val="22"/>
        </w:rPr>
        <w:t xml:space="preserve">(231D) </w:t>
      </w:r>
      <w:r>
        <w:rPr>
          <w:rFonts w:ascii="Times New Roman" w:hAnsi="Times New Roman"/>
          <w:b/>
          <w:i w:val="false"/>
          <w:color w:val="000000"/>
          <w:sz w:val="22"/>
        </w:rPr>
        <w:t xml:space="preserve">Involuntary discharge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70.24(1)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discharge. </w:t>
      </w:r>
      <w:r>
        <w:rPr>
          <w:rFonts w:ascii="Times New Roman" w:hAnsi="Times New Roman"/>
          <w:b w:val="false"/>
          <w:i w:val="false"/>
          <w:color w:val="000000"/>
          <w:sz w:val="22"/>
        </w:rPr>
        <w:t xml:space="preserve">If a program initiates the involuntary discharge of a participant and the action is not the result of a monitoring, including a complaint investigation or program-reported incident investigation, by the department and if the participant or participant’s legal representative contests the discharge, the procedures in Iowa Code section </w:t>
      </w:r>
      <w:hyperlink r:id="rId39">
        <w:r>
          <w:rPr>
            <w:rStyle w:val="Hyperlink"/>
            <w:rFonts w:ascii="Times New Roman" w:hAnsi="Times New Roman"/>
            <w:b w:val="false"/>
            <w:i w:val="false"/>
            <w:color w:val="000000"/>
            <w:sz w:val="22"/>
          </w:rPr>
          <w:t>231D.18</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70.24(2)</w:t>
      </w:r>
      <w:r>
        <w:rPr>
          <w:rFonts w:ascii="Times New Roman" w:hAnsi="Times New Roman"/>
          <w:b w:val="false"/>
          <w:i w:val="false"/>
          <w:color w:val="000000"/>
          <w:sz w:val="22"/>
        </w:rPr>
        <w:t> </w:t>
      </w:r>
      <w:r>
        <w:rPr>
          <w:rFonts w:ascii="Times New Roman" w:hAnsi="Times New Roman"/>
          <w:b w:val="false"/>
          <w:i/>
          <w:color w:val="000000"/>
          <w:sz w:val="22"/>
        </w:rPr>
        <w:t xml:space="preserve">Discharge pursuant to results of monitoring or complaint or program-reported incident investigation by the department. </w:t>
      </w:r>
      <w:r>
        <w:rPr>
          <w:rFonts w:ascii="Times New Roman" w:hAnsi="Times New Roman"/>
          <w:b w:val="false"/>
          <w:i w:val="false"/>
          <w:color w:val="000000"/>
          <w:sz w:val="22"/>
        </w:rPr>
        <w:t>If one or more participants are identified as exceeding the admission and retention criteria for participants and need to be discharged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program. </w:t>
      </w:r>
      <w:r>
        <w:rPr>
          <w:rFonts w:ascii="Times New Roman" w:hAnsi="Times New Roman"/>
          <w:b w:val="false"/>
          <w:i w:val="false"/>
          <w:color w:val="000000"/>
          <w:sz w:val="22"/>
        </w:rPr>
        <w:t>Within 20 working days of the monitoring or complaint or program-reported incident investigation, the department will notify the program, in writing, of the identification of any participant who exceeds admission and retention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others. </w:t>
      </w:r>
      <w:r>
        <w:rPr>
          <w:rFonts w:ascii="Times New Roman" w:hAnsi="Times New Roman"/>
          <w:b w:val="false"/>
          <w:i w:val="false"/>
          <w:color w:val="000000"/>
          <w:sz w:val="22"/>
        </w:rPr>
        <w:t>Each identified participant, the participant’s legal representative, if applicable, and other providers of services to the participant will be notified of their opportunity to provide responses within ten days of receipt of the notice, including specific input, written comment, information, and documentation directly addressing any agreement or disagreement with the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discharge proceedings, the program’s internal appeal process in subrule </w:t>
      </w:r>
      <w:hyperlink r:id="rId40">
        <w:r>
          <w:rPr>
            <w:rStyle w:val="Hyperlink"/>
            <w:rFonts w:ascii="Times New Roman" w:hAnsi="Times New Roman"/>
            <w:b w:val="false"/>
            <w:i w:val="false"/>
            <w:color w:val="000000"/>
            <w:sz w:val="22"/>
          </w:rPr>
          <w:t>70.24(1)</w:t>
        </w:r>
      </w:hyperlink>
      <w:r>
        <w:rPr>
          <w:rFonts w:ascii="Times New Roman" w:hAnsi="Times New Roman"/>
          <w:b w:val="false"/>
          <w:i w:val="false"/>
          <w:color w:val="000000"/>
          <w:sz w:val="22"/>
        </w:rPr>
        <w:t xml:space="preserve"> shall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participant exceeds admission and retention criteria, the program may collect and submit all responses to the department, including those from other interested parties, within ten working days of receipt of the notice. In the program’s response, the program will identify the participant, list the known responses from others, and note the program’s agreement or disagreement with the responses from others. Submission of a response does not eliminate the applicable requirements, including submission of a plan of correction under </w:t>
      </w:r>
      <w:hyperlink r:id="rId41">
        <w:r>
          <w:rPr>
            <w:rStyle w:val="Hyperlink"/>
            <w:rFonts w:ascii="Times New Roman" w:hAnsi="Times New Roman"/>
            <w:b w:val="false"/>
            <w:i w:val="false"/>
            <w:color w:val="000000"/>
            <w:sz w:val="22"/>
          </w:rPr>
          <w:t>481—subrule 67.13(3)</w:t>
        </w:r>
      </w:hyperlink>
      <w:r>
        <w:rPr>
          <w:rFonts w:ascii="Times New Roman" w:hAnsi="Times New Roman"/>
          <w:b w:val="false"/>
          <w:i w:val="false"/>
          <w:color w:val="000000"/>
          <w:sz w:val="22"/>
        </w:rPr>
        <w:t>. Other persons may also submit information directly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Consideration of response. Within ten working days of receipt of the program’s response for each identified participant, the department will consider the response and make a final finding regarding the continued retention of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Amending the regulatory insufficiency. If the department’s determination is to amend the regulatory insufficiency based on the response, the department will modify the report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regulatory insufficiency. If the department retains the regulatory insufficiency, the department will review the plan of correction in accordance with this chapter and </w:t>
      </w:r>
      <w:hyperlink r:id="rId42">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The department will notify the program of the opportunity to appeal the report findings as they relate to the admission and retention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 of the filing of an appeal. If an appeal is filed, the participant who exceeds admission and retention criteria will be allowed to continue to participate in the program until all administrative appeals have been exhausted. Appeals filed that relate to the participant’s exceeding admission and retention criteria will be heard within 30 days of receipt, and appropriate services to meet the participant’s needs will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waiver of criteria for retention of a participant in a program. To allow a participant to continue to participate in the program, the program may request a waiver of criteria for retention of a participant pursuant to rule </w:t>
      </w:r>
      <w:hyperlink r:id="rId43">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ten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481—70.25</w:t>
      </w:r>
      <w:r>
        <w:rPr>
          <w:rFonts w:ascii="Times New Roman" w:hAnsi="Times New Roman"/>
          <w:b/>
          <w:i w:val="false"/>
          <w:color w:val="000000"/>
          <w:sz w:val="22"/>
        </w:rPr>
        <w:t xml:space="preserve">(231D) </w:t>
      </w:r>
      <w:r>
        <w:rPr>
          <w:rFonts w:ascii="Times New Roman" w:hAnsi="Times New Roman"/>
          <w:b/>
          <w:i w:val="false"/>
          <w:color w:val="000000"/>
          <w:sz w:val="22"/>
        </w:rPr>
        <w:t xml:space="preserve">Participant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participant shall be maintained by the program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participation record including the participant’s name, birth date, and home address; identification numbers; date of beginning participation;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participant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lists, which will be maintained in conformance with </w:t>
      </w:r>
      <w:hyperlink r:id="rId44">
        <w:r>
          <w:rPr>
            <w:rStyle w:val="Hyperlink"/>
            <w:rFonts w:ascii="Times New Roman" w:hAnsi="Times New Roman"/>
            <w:b w:val="false"/>
            <w:i w:val="false"/>
            <w:color w:val="000000"/>
            <w:sz w:val="22"/>
          </w:rPr>
          <w:t>481—paragraph 67.5(2)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participant’s contractual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participant or the participant’s legal representative, if applicable, has been fully informed of the participant’s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participant, including but not limited to those related to medication errors, accidents, falls, and elopements (such reports need not be included in the participant’s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participant is unable to advocate on the participant’s own behalf or the participant has multiple service providers, including hospice care providers, accurate documentation of the completion of routine personal or health-related care is required on task sheets. If tasks are doctor-ordered, the tasks will be part of the medication administration records (MARs);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participant shall be retained for a minimum of three years after termination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481—70.26</w:t>
      </w:r>
      <w:r>
        <w:rPr>
          <w:rFonts w:ascii="Times New Roman" w:hAnsi="Times New Roman"/>
          <w:b/>
          <w:i w:val="false"/>
          <w:color w:val="000000"/>
          <w:sz w:val="22"/>
        </w:rPr>
        <w:t xml:space="preserve">(231D)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participant based on the evaluations conducted in accordance with rule </w:t>
      </w:r>
      <w:hyperlink r:id="rId45">
        <w:r>
          <w:rPr>
            <w:rStyle w:val="Hyperlink"/>
            <w:rFonts w:ascii="Times New Roman" w:hAnsi="Times New Roman"/>
            <w:b w:val="false"/>
            <w:i w:val="false"/>
            <w:color w:val="000000"/>
            <w:sz w:val="22"/>
          </w:rPr>
          <w:t>481—70.22(231D)</w:t>
        </w:r>
      </w:hyperlink>
      <w:r>
        <w:rPr>
          <w:rFonts w:ascii="Times New Roman" w:hAnsi="Times New Roman"/>
          <w:b w:val="false"/>
          <w:i w:val="false"/>
          <w:color w:val="000000"/>
          <w:sz w:val="22"/>
        </w:rPr>
        <w:t xml:space="preserve"> and designed to meet the specific service needs of the individual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70.26(2)</w:t>
      </w:r>
      <w:r>
        <w:rPr>
          <w:rFonts w:ascii="Times New Roman" w:hAnsi="Times New Roman"/>
          <w:b w:val="false"/>
          <w:i w:val="false"/>
          <w:color w:val="000000"/>
          <w:sz w:val="22"/>
        </w:rPr>
        <w:t> </w:t>
      </w:r>
      <w:r>
        <w:rPr>
          <w:rFonts w:ascii="Times New Roman" w:hAnsi="Times New Roman"/>
          <w:b w:val="false"/>
          <w:i w:val="false"/>
          <w:color w:val="000000"/>
          <w:sz w:val="22"/>
        </w:rPr>
        <w:t>Prior to the participant’s signing the contractual agreement and participating in the program, a preliminary service plan shall be developed by a health care professional or human service professional in consultation with the participant and, at the participant’s request, with other individuals identified by the participant, and, if applicable, with the participant’s legal representative. All persons who develop the plan and the participant or the participant’s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70.26(3)</w:t>
      </w:r>
      <w:r>
        <w:rPr>
          <w:rFonts w:ascii="Times New Roman" w:hAnsi="Times New Roman"/>
          <w:b w:val="false"/>
          <w:i w:val="false"/>
          <w:color w:val="000000"/>
          <w:sz w:val="22"/>
        </w:rPr>
        <w:t> </w:t>
      </w:r>
      <w:r>
        <w:rPr>
          <w:rFonts w:ascii="Times New Roman" w:hAnsi="Times New Roman"/>
          <w:b w:val="false"/>
          <w:i w:val="false"/>
          <w:color w:val="000000"/>
          <w:sz w:val="22"/>
        </w:rPr>
        <w:t>When a participant needs personal care or health-related care, the service plan shall be updated within 30 days of the participant’s participation and as needed with significant change, but not less than annually. The updated service plan shall be signed and dated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participants who are unable to plan their own activities, including participants with dementia, planned and spontaneous activities based on the participant’s abilities and personal interests.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481—70.27</w:t>
      </w:r>
      <w:r>
        <w:rPr>
          <w:rFonts w:ascii="Times New Roman" w:hAnsi="Times New Roman"/>
          <w:b/>
          <w:i w:val="false"/>
          <w:color w:val="000000"/>
          <w:sz w:val="22"/>
        </w:rPr>
        <w:t xml:space="preserve">(231D) </w:t>
      </w:r>
      <w:r>
        <w:rPr>
          <w:rFonts w:ascii="Times New Roman" w:hAnsi="Times New Roman"/>
          <w:b/>
          <w:i w:val="false"/>
          <w:color w:val="000000"/>
          <w:sz w:val="22"/>
        </w:rPr>
        <w:t xml:space="preserve">Nurse review. </w:t>
      </w:r>
      <w:r>
        <w:rPr>
          <w:rFonts w:ascii="Times New Roman" w:hAnsi="Times New Roman"/>
          <w:b w:val="false"/>
          <w:i w:val="false"/>
          <w:color w:val="000000"/>
          <w:sz w:val="22"/>
        </w:rPr>
        <w:t>If a participant does not receive personal or health-related care, but an observed significant change in the participant’s condition occurs, a nurse review shall be conducted. If a participant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70.27(1)</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participant’s condition, any participant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70.27(2)</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participants who receive health care professional-directed care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70.27(3)</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participant, to make recommendations and referrals as appropriate, and to monitor progress relating to previous recommendations at least every 90 days and whenever there are changes in the participant’s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70.27(4)</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provide the program with written documentation of the activities under the service plan, as set forth in rule </w:t>
      </w:r>
      <w:hyperlink r:id="rId46">
        <w:r>
          <w:rPr>
            <w:rStyle w:val="Hyperlink"/>
            <w:rFonts w:ascii="Times New Roman" w:hAnsi="Times New Roman"/>
            <w:b w:val="false"/>
            <w:i w:val="false"/>
            <w:color w:val="000000"/>
            <w:sz w:val="22"/>
          </w:rPr>
          <w:t>481—70.26</w:t>
        </w:r>
      </w:hyperlink>
      <w:r>
        <w:rPr>
          <w:rFonts w:ascii="Times New Roman" w:hAnsi="Times New Roman"/>
          <w:b w:val="false"/>
          <w:i w:val="false"/>
          <w:color w:val="000000"/>
          <w:sz w:val="22"/>
        </w:rPr>
        <w:t>(231D), showing the time, date and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481—70.28</w:t>
      </w:r>
      <w:r>
        <w:rPr>
          <w:rFonts w:ascii="Times New Roman" w:hAnsi="Times New Roman"/>
          <w:b/>
          <w:i w:val="false"/>
          <w:color w:val="000000"/>
          <w:sz w:val="22"/>
        </w:rPr>
        <w:t xml:space="preserve">(231D)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arrange for the availability of meals, unless otherwise noted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assistant, or advanced registered nurse practitioner, or ordered by a licensed dietitian authorized by a qualified medical provider. A therapeutic diet provides food, fluids, or nutrients by oral, enteral, or parenteral routes and is used in the treatment of a disease or clinical condition to modify, eliminate, decrease, or increase specific macro- or micronutrients, or to provide mechanically altered food when medically indicated. A copy of the Iowa Simplified Diet Manual, Thirteenth Edition, published by the Iowa Academy of Nutrition and Dietetics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shall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hyperlink r:id="rId48">
        <w:r>
          <w:rPr>
            <w:rStyle w:val="Hyperlink"/>
            <w:rFonts w:ascii="Times New Roman" w:hAnsi="Times New Roman"/>
            <w:b w:val="false"/>
            <w:i w:val="false"/>
            <w:color w:val="000000"/>
            <w:sz w:val="22"/>
          </w:rPr>
          <w:t>70.28(5)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will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be licensed pursuant to Iowa Code chapter </w:t>
      </w:r>
      <w:hyperlink r:id="rId4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will be prepared offsite and transferred to the program kitchen for service to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participants may be stored in the program’s kitchen. Participant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participant-requested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participant-requested menu-substitution items, but no bare-hand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481—70.29</w:t>
      </w:r>
      <w:r>
        <w:rPr>
          <w:rFonts w:ascii="Times New Roman" w:hAnsi="Times New Roman"/>
          <w:b/>
          <w:i w:val="false"/>
          <w:color w:val="000000"/>
          <w:sz w:val="22"/>
        </w:rPr>
        <w:t xml:space="preserve">(231D)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50">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70.29(1)</w:t>
      </w:r>
      <w:r>
        <w:rPr>
          <w:rFonts w:ascii="Times New Roman" w:hAnsi="Times New Roman"/>
          <w:b w:val="false"/>
          <w:i w:val="false"/>
          <w:color w:val="000000"/>
          <w:sz w:val="22"/>
        </w:rPr>
        <w:t> </w:t>
      </w:r>
      <w:r>
        <w:rPr>
          <w:rFonts w:ascii="Times New Roman" w:hAnsi="Times New Roman"/>
          <w:b w:val="false"/>
          <w:i w:val="false"/>
          <w:color w:val="000000"/>
          <w:sz w:val="22"/>
        </w:rPr>
        <w:t>No fewer than two staff persons who monitor participants will be awake and on duty during all hours of operation when two or more participants are participating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70.29(2)</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70.29(3)</w:t>
      </w:r>
      <w:r>
        <w:rPr>
          <w:rFonts w:ascii="Times New Roman" w:hAnsi="Times New Roman"/>
          <w:b w:val="false"/>
          <w:i w:val="false"/>
          <w:color w:val="000000"/>
          <w:sz w:val="22"/>
        </w:rPr>
        <w:t> </w:t>
      </w:r>
      <w:r>
        <w:rPr>
          <w:rFonts w:ascii="Times New Roman" w:hAnsi="Times New Roman"/>
          <w:b w:val="false"/>
          <w:i w:val="false"/>
          <w:color w:val="000000"/>
          <w:sz w:val="22"/>
        </w:rPr>
        <w:t>A program that serves one or more participants with cognitive disorders or dementia will follow written procedures that address how the program will respond to the emergency needs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70.29(4)</w:t>
      </w:r>
      <w:r>
        <w:rPr>
          <w:rFonts w:ascii="Times New Roman" w:hAnsi="Times New Roman"/>
          <w:b w:val="false"/>
          <w:i w:val="false"/>
          <w:color w:val="000000"/>
          <w:sz w:val="22"/>
        </w:rPr>
        <w:t> </w:t>
      </w:r>
      <w:r>
        <w:rPr>
          <w:rFonts w:ascii="Times New Roman" w:hAnsi="Times New Roman"/>
          <w:b w:val="false"/>
          <w:i w:val="false"/>
          <w:color w:val="000000"/>
          <w:sz w:val="22"/>
        </w:rPr>
        <w:t>The program will notify the department in writing within ten business days of a change in the program’s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481—70.30</w:t>
      </w:r>
      <w:r>
        <w:rPr>
          <w:rFonts w:ascii="Times New Roman" w:hAnsi="Times New Roman"/>
          <w:b/>
          <w:i w:val="false"/>
          <w:color w:val="000000"/>
          <w:sz w:val="22"/>
        </w:rPr>
        <w:t xml:space="preserve">(231D) </w:t>
      </w:r>
      <w:r>
        <w:rPr>
          <w:rFonts w:ascii="Times New Roman" w:hAnsi="Times New Roman"/>
          <w:b/>
          <w:i w:val="false"/>
          <w:color w:val="000000"/>
          <w:sz w:val="22"/>
        </w:rPr>
        <w:t xml:space="preserve">Dementia-specific education for program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70.30(1)</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eight hours of dementia-specific education and training within 30 days of either employment or the beginning date of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70.30(2)</w:t>
      </w:r>
      <w:r>
        <w:rPr>
          <w:rFonts w:ascii="Times New Roman" w:hAnsi="Times New Roman"/>
          <w:b w:val="false"/>
          <w:i w:val="false"/>
          <w:color w:val="000000"/>
          <w:sz w:val="22"/>
        </w:rPr>
        <w:t> </w:t>
      </w:r>
      <w:r>
        <w:rPr>
          <w:rFonts w:ascii="Times New Roman" w:hAnsi="Times New Roman"/>
          <w:b w:val="false"/>
          <w:i w:val="false"/>
          <w:color w:val="000000"/>
          <w:sz w:val="22"/>
        </w:rPr>
        <w:t>The dementia-specific education or training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specialized dementia care philosophy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Skills in assistance with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importance of the service plan and social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Techniques for simplifying, cueing,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70.30(3)</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two hours of dementia-specific continuing education annually. Direct-contact personnel shall receive a minimum of eight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 contractor who provides documentation of completion of a dementia-specific education or training program within the past 12 months will be exempt from the education and training requirement of subrule </w:t>
      </w:r>
      <w:hyperlink r:id="rId51">
        <w:r>
          <w:rPr>
            <w:rStyle w:val="Hyperlink"/>
            <w:rFonts w:ascii="Times New Roman" w:hAnsi="Times New Roman"/>
            <w:b w:val="false"/>
            <w:i w:val="false"/>
            <w:color w:val="000000"/>
            <w:sz w:val="22"/>
          </w:rPr>
          <w:t>70.30(1)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70.30(5)</w:t>
      </w:r>
      <w:r>
        <w:rPr>
          <w:rFonts w:ascii="Times New Roman" w:hAnsi="Times New Roman"/>
          <w:b w:val="false"/>
          <w:i w:val="false"/>
          <w:color w:val="000000"/>
          <w:sz w:val="22"/>
        </w:rPr>
        <w:t> </w:t>
      </w:r>
      <w:r>
        <w:rPr>
          <w:rFonts w:ascii="Times New Roman" w:hAnsi="Times New Roman"/>
          <w:b w:val="false"/>
          <w:i w:val="false"/>
          <w:color w:val="000000"/>
          <w:sz w:val="22"/>
        </w:rPr>
        <w:t>Dementia-specific training will include hands-on training and include: classroom instruction, web-based training, and case studies of participants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481—70.31</w:t>
      </w:r>
      <w:r>
        <w:rPr>
          <w:rFonts w:ascii="Times New Roman" w:hAnsi="Times New Roman"/>
          <w:b/>
          <w:i w:val="false"/>
          <w:color w:val="000000"/>
          <w:sz w:val="22"/>
        </w:rPr>
        <w:t xml:space="preserve">(231D)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that will be provided to the participant along with the contractual agreement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participant and the process for managing risk and for upholding participant autonomy when participant decision making results in poor outcomes for the participant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participant will participate in the process. The result of the consensus-based process may be a managed risk consensus agreement that will include the signature of the participant and the signatures of all others who participated in the process and be included in the participant’s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481—70.32</w:t>
      </w:r>
      <w:r>
        <w:rPr>
          <w:rFonts w:ascii="Times New Roman" w:hAnsi="Times New Roman"/>
          <w:b/>
          <w:i w:val="false"/>
          <w:color w:val="000000"/>
          <w:sz w:val="22"/>
        </w:rPr>
        <w:t xml:space="preserve">(231D)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with procedures for natural disasters that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 including head injury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Participant evacuation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70.32(2)</w:t>
      </w:r>
      <w:r>
        <w:rPr>
          <w:rFonts w:ascii="Times New Roman" w:hAnsi="Times New Roman"/>
          <w:b w:val="false"/>
          <w:i w:val="false"/>
          <w:color w:val="000000"/>
          <w:sz w:val="22"/>
        </w:rPr>
        <w:t> </w:t>
      </w:r>
      <w:r>
        <w:rPr>
          <w:rFonts w:ascii="Times New Roman" w:hAnsi="Times New Roman"/>
          <w:b w:val="false"/>
          <w:i w:val="false"/>
          <w:color w:val="000000"/>
          <w:sz w:val="22"/>
        </w:rPr>
        <w:t>An operating alarm system shall be connected to each exit door in a dementia-specific program. A program serving a person(s) with cognitive disorder or dementia, whether in a general or dementia-specific setting, shall have written procedures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Alarm systems and appropriate staff response when a participant’s service plan indicates a risk of elopement or a participant exhibits wandering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if a participant with cognitive disorder or dementia is missing.</w:t>
      </w:r>
    </w:p>
    <w:p>
      <w:pPr>
        <w:spacing w:before="0" w:after="0"/>
        <w:ind w:left="120"/>
        <w:jc w:val="both"/>
      </w:pPr>
      <w:r>
        <w:rPr>
          <w:rFonts w:ascii="Times New Roman" w:hAnsi="Times New Roman"/>
          <w:b w:val="false"/>
          <w:i w:val="false"/>
          <w:color w:val="000000"/>
          <w:sz w:val="22"/>
        </w:rPr>
        <w:t>The program shall obtain approval from the fire safety bureau before the installation of any specialized door locking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70.32(3)</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adult day services programs in administrative rules promulgated by the building code and fire safety bureaus. Approval of both bureaus indicating that the building complies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70.32(4)</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participant to prevent scalding and control the maximum water temperature for participants with cognitive impairment or dementia or at a participant’s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481—70.33</w:t>
      </w:r>
      <w:r>
        <w:rPr>
          <w:rFonts w:ascii="Times New Roman" w:hAnsi="Times New Roman"/>
          <w:b/>
          <w:i w:val="false"/>
          <w:color w:val="000000"/>
          <w:sz w:val="22"/>
        </w:rPr>
        <w:t xml:space="preserve">(231D)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70.33(1)</w:t>
      </w:r>
      <w:r>
        <w:rPr>
          <w:rFonts w:ascii="Times New Roman" w:hAnsi="Times New Roman"/>
          <w:b w:val="false"/>
          <w:i w:val="false"/>
          <w:color w:val="000000"/>
          <w:sz w:val="22"/>
        </w:rPr>
        <w:t> </w:t>
      </w:r>
      <w:r>
        <w:rPr>
          <w:rFonts w:ascii="Times New Roman" w:hAnsi="Times New Roman"/>
          <w:b w:val="false"/>
          <w:i w:val="false"/>
          <w:color w:val="000000"/>
          <w:sz w:val="22"/>
        </w:rPr>
        <w:t>The vehicle will be accessible and appropriate to the participants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70.33(2)</w:t>
      </w:r>
      <w:r>
        <w:rPr>
          <w:rFonts w:ascii="Times New Roman" w:hAnsi="Times New Roman"/>
          <w:b w:val="false"/>
          <w:i w:val="false"/>
          <w:color w:val="000000"/>
          <w:sz w:val="22"/>
        </w:rPr>
        <w:t> </w:t>
      </w:r>
      <w:r>
        <w:rPr>
          <w:rFonts w:ascii="Times New Roman" w:hAnsi="Times New Roman"/>
          <w:b w:val="false"/>
          <w:i w:val="false"/>
          <w:color w:val="000000"/>
          <w:sz w:val="22"/>
        </w:rPr>
        <w:t>Every participant transported will have a seat in the vehicle, except for a participant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70.33(3)</w:t>
      </w:r>
      <w:r>
        <w:rPr>
          <w:rFonts w:ascii="Times New Roman" w:hAnsi="Times New Roman"/>
          <w:b w:val="false"/>
          <w:i w:val="false"/>
          <w:color w:val="000000"/>
          <w:sz w:val="22"/>
        </w:rPr>
        <w:t> </w:t>
      </w:r>
      <w:r>
        <w:rPr>
          <w:rFonts w:ascii="Times New Roman" w:hAnsi="Times New Roman"/>
          <w:b w:val="false"/>
          <w:i w:val="false"/>
          <w:color w:val="000000"/>
          <w:sz w:val="22"/>
        </w:rPr>
        <w:t>Vehicles will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70.33(4)</w:t>
      </w:r>
      <w:r>
        <w:rPr>
          <w:rFonts w:ascii="Times New Roman" w:hAnsi="Times New Roman"/>
          <w:b w:val="false"/>
          <w:i w:val="false"/>
          <w:color w:val="000000"/>
          <w:sz w:val="22"/>
        </w:rPr>
        <w:t> </w:t>
      </w:r>
      <w:r>
        <w:rPr>
          <w:rFonts w:ascii="Times New Roman" w:hAnsi="Times New Roman"/>
          <w:b w:val="false"/>
          <w:i w:val="false"/>
          <w:color w:val="000000"/>
          <w:sz w:val="22"/>
        </w:rPr>
        <w:t>Wheelchairs will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participant, the driver will be in the proximate area of the participants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70.33(6)</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and appropriate Iowa driver’s license or commercial driver’s license as required by law for the vehicle being utilized for transport, or be so licensed in another state. The driver will meet any state or federal requirements for licensure or certification for the vehicle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70.33(7)</w:t>
      </w:r>
      <w:r>
        <w:rPr>
          <w:rFonts w:ascii="Times New Roman" w:hAnsi="Times New Roman"/>
          <w:b w:val="false"/>
          <w:i w:val="false"/>
          <w:color w:val="000000"/>
          <w:sz w:val="22"/>
        </w:rPr>
        <w:t> </w:t>
      </w:r>
      <w:r>
        <w:rPr>
          <w:rFonts w:ascii="Times New Roman" w:hAnsi="Times New Roman"/>
          <w:b w:val="false"/>
          <w:i w:val="false"/>
          <w:color w:val="000000"/>
          <w:sz w:val="22"/>
        </w:rPr>
        <w:t>Each vehicle will have a first-aid kit, fire extinguisher, safety triangles and a device for two-way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481—70.34</w:t>
      </w:r>
      <w:r>
        <w:rPr>
          <w:rFonts w:ascii="Times New Roman" w:hAnsi="Times New Roman"/>
          <w:b/>
          <w:i w:val="false"/>
          <w:color w:val="000000"/>
          <w:sz w:val="22"/>
        </w:rPr>
        <w:t xml:space="preserve">(231D) </w:t>
      </w:r>
      <w:r>
        <w:rPr>
          <w:rFonts w:ascii="Times New Roman" w:hAnsi="Times New Roman"/>
          <w:b/>
          <w:i w:val="false"/>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appropriate activities for each participant reflecting individual differences in age, health status, sensory deficits, lifestyle, ethnic and cultural beliefs, religious beliefs, values, experiences, needs, interests, abilities and skills by providing opportunities for a variety of types and levels of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70.34(2)</w:t>
      </w:r>
      <w:r>
        <w:rPr>
          <w:rFonts w:ascii="Times New Roman" w:hAnsi="Times New Roman"/>
          <w:b w:val="false"/>
          <w:i w:val="false"/>
          <w:color w:val="000000"/>
          <w:sz w:val="22"/>
        </w:rPr>
        <w:t> </w:t>
      </w:r>
      <w:r>
        <w:rPr>
          <w:rFonts w:ascii="Times New Roman" w:hAnsi="Times New Roman"/>
          <w:b w:val="false"/>
          <w:i w:val="false"/>
          <w:color w:val="000000"/>
          <w:sz w:val="22"/>
        </w:rPr>
        <w:t>Activities shall be planned to support the participant’s service plan and be consistent with the program statement and participation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70.34(3)</w:t>
      </w:r>
      <w:r>
        <w:rPr>
          <w:rFonts w:ascii="Times New Roman" w:hAnsi="Times New Roman"/>
          <w:b w:val="false"/>
          <w:i w:val="false"/>
          <w:color w:val="000000"/>
          <w:sz w:val="22"/>
        </w:rPr>
        <w:t> </w:t>
      </w:r>
      <w:r>
        <w:rPr>
          <w:rFonts w:ascii="Times New Roman" w:hAnsi="Times New Roman"/>
          <w:b w:val="false"/>
          <w:i w:val="false"/>
          <w:color w:val="000000"/>
          <w:sz w:val="22"/>
        </w:rPr>
        <w:t>A written schedule of activities shall be developed at least monthly and made available to participants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70.34(4)</w:t>
      </w:r>
      <w:r>
        <w:rPr>
          <w:rFonts w:ascii="Times New Roman" w:hAnsi="Times New Roman"/>
          <w:b w:val="false"/>
          <w:i w:val="false"/>
          <w:color w:val="000000"/>
          <w:sz w:val="22"/>
        </w:rPr>
        <w:t> </w:t>
      </w:r>
      <w:r>
        <w:rPr>
          <w:rFonts w:ascii="Times New Roman" w:hAnsi="Times New Roman"/>
          <w:b w:val="false"/>
          <w:i w:val="false"/>
          <w:color w:val="000000"/>
          <w:sz w:val="22"/>
        </w:rPr>
        <w:t>Participants shall be given the opportunity to choose their levels of participation in all activities offered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481—70.35</w:t>
      </w:r>
      <w:r>
        <w:rPr>
          <w:rFonts w:ascii="Times New Roman" w:hAnsi="Times New Roman"/>
          <w:b/>
          <w:i w:val="false"/>
          <w:color w:val="000000"/>
          <w:sz w:val="22"/>
        </w:rPr>
        <w:t xml:space="preserve">(231D) </w:t>
      </w:r>
      <w:r>
        <w:rPr>
          <w:rFonts w:ascii="Times New Roman" w:hAnsi="Times New Roman"/>
          <w:b/>
          <w:i w:val="false"/>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w:t>
      </w:r>
      <w:r>
        <w:rPr>
          <w:rFonts w:ascii="Times New Roman" w:hAnsi="Times New Roman"/>
          <w:b w:val="false"/>
          <w:i w:val="false"/>
          <w:color w:val="000000"/>
          <w:sz w:val="22"/>
        </w:rPr>
        <w:t> </w:t>
      </w:r>
      <w:r>
        <w:rPr>
          <w:rFonts w:ascii="Times New Roman" w:hAnsi="Times New Roman"/>
          <w:b w:val="false"/>
          <w:i w:val="false"/>
          <w:color w:val="000000"/>
          <w:sz w:val="22"/>
        </w:rPr>
        <w:t>The structure, equipment and physical environment of the program will be designed and operated to meet the needs of the participants. The building, grounds and equipment will be well-maintained, clean, safe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70.35(2)</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one toilet for every ten participants and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70.35(3)</w:t>
      </w:r>
      <w:r>
        <w:rPr>
          <w:rFonts w:ascii="Times New Roman" w:hAnsi="Times New Roman"/>
          <w:b w:val="false"/>
          <w:i w:val="false"/>
          <w:color w:val="000000"/>
          <w:sz w:val="22"/>
        </w:rPr>
        <w:t> </w:t>
      </w:r>
      <w:r>
        <w:rPr>
          <w:rFonts w:ascii="Times New Roman" w:hAnsi="Times New Roman"/>
          <w:b w:val="false"/>
          <w:i w:val="false"/>
          <w:color w:val="000000"/>
          <w:sz w:val="22"/>
        </w:rPr>
        <w:t>Toilets and bathing and toileting appliances will be equipped for use by participants with multiple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70.35(4)</w:t>
      </w:r>
      <w:r>
        <w:rPr>
          <w:rFonts w:ascii="Times New Roman" w:hAnsi="Times New Roman"/>
          <w:b w:val="false"/>
          <w:i w:val="false"/>
          <w:color w:val="000000"/>
          <w:sz w:val="22"/>
        </w:rPr>
        <w:t> </w:t>
      </w:r>
      <w:r>
        <w:rPr>
          <w:rFonts w:ascii="Times New Roman" w:hAnsi="Times New Roman"/>
          <w:b w:val="false"/>
          <w:i w:val="false"/>
          <w:color w:val="000000"/>
          <w:sz w:val="22"/>
        </w:rPr>
        <w:t>There will be a ratio of at least one hand-washing sink for every two toilets. The sink(s) will be proximate to the toilets. Hand-washing facilities will be readily accessible to participants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70.35(5)</w:t>
      </w:r>
      <w:r>
        <w:rPr>
          <w:rFonts w:ascii="Times New Roman" w:hAnsi="Times New Roman"/>
          <w:b w:val="false"/>
          <w:i w:val="false"/>
          <w:color w:val="000000"/>
          <w:sz w:val="22"/>
        </w:rPr>
        <w:t> </w:t>
      </w:r>
      <w:r>
        <w:rPr>
          <w:rFonts w:ascii="Times New Roman" w:hAnsi="Times New Roman"/>
          <w:b w:val="false"/>
          <w:i w:val="false"/>
          <w:color w:val="000000"/>
          <w:sz w:val="22"/>
        </w:rPr>
        <w:t>Shower and tub areas, if provided, will be equipped with grab bars and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70.35(6)</w:t>
      </w:r>
      <w:r>
        <w:rPr>
          <w:rFonts w:ascii="Times New Roman" w:hAnsi="Times New Roman"/>
          <w:b w:val="false"/>
          <w:i w:val="false"/>
          <w:color w:val="000000"/>
          <w:sz w:val="22"/>
        </w:rPr>
        <w:t> </w:t>
      </w:r>
      <w:r>
        <w:rPr>
          <w:rFonts w:ascii="Times New Roman" w:hAnsi="Times New Roman"/>
          <w:b w:val="false"/>
          <w:i w:val="false"/>
          <w:color w:val="000000"/>
          <w:sz w:val="22"/>
        </w:rPr>
        <w:t>Signaling emergency call devices will be installed or placed in all bathroom areas, restroom stalls and showers.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70.35(7)</w:t>
      </w:r>
      <w:r>
        <w:rPr>
          <w:rFonts w:ascii="Times New Roman" w:hAnsi="Times New Roman"/>
          <w:b w:val="false"/>
          <w:i w:val="false"/>
          <w:color w:val="000000"/>
          <w:sz w:val="22"/>
        </w:rPr>
        <w:t> </w:t>
      </w:r>
      <w:r>
        <w:rPr>
          <w:rFonts w:ascii="Times New Roman" w:hAnsi="Times New Roman"/>
          <w:b w:val="false"/>
          <w:i w:val="false"/>
          <w:color w:val="000000"/>
          <w:sz w:val="22"/>
        </w:rPr>
        <w:t>A telephone will be available to participants to make and receive calls in a private manner and for emergency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70.35(8)</w:t>
      </w:r>
      <w:r>
        <w:rPr>
          <w:rFonts w:ascii="Times New Roman" w:hAnsi="Times New Roman"/>
          <w:b w:val="false"/>
          <w:i w:val="false"/>
          <w:color w:val="000000"/>
          <w:sz w:val="22"/>
        </w:rPr>
        <w:t> </w:t>
      </w:r>
      <w:r>
        <w:rPr>
          <w:rFonts w:ascii="Times New Roman" w:hAnsi="Times New Roman"/>
          <w:b w:val="false"/>
          <w:i w:val="false"/>
          <w:color w:val="000000"/>
          <w:sz w:val="22"/>
        </w:rPr>
        <w:t>A storage area(s) will be provided for storage of program supplies and participants’ possessions, which will be stored in such a manner that, when not in use, will prevent personal injury to participants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70.35(9)</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a separate area to permit privacy for evaluations and to isolate participants who become 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70.35(10)</w:t>
      </w:r>
      <w:r>
        <w:rPr>
          <w:rFonts w:ascii="Times New Roman" w:hAnsi="Times New Roman"/>
          <w:b w:val="false"/>
          <w:i w:val="false"/>
          <w:color w:val="000000"/>
          <w:sz w:val="22"/>
        </w:rPr>
        <w:t> </w:t>
      </w:r>
      <w:r>
        <w:rPr>
          <w:rFonts w:ascii="Times New Roman" w:hAnsi="Times New Roman"/>
          <w:b w:val="false"/>
          <w:i w:val="false"/>
          <w:color w:val="000000"/>
          <w:sz w:val="22"/>
        </w:rPr>
        <w:t>The program will meet other building and public safety codes, including rules pertaining to accessibility contained in the state building code and provisions of the state building code relating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will meet the requirements in subrule </w:t>
      </w:r>
      <w:hyperlink r:id="rId52">
        <w:r>
          <w:rPr>
            <w:rStyle w:val="Hyperlink"/>
            <w:rFonts w:ascii="Times New Roman" w:hAnsi="Times New Roman"/>
            <w:b w:val="false"/>
            <w:i w:val="false"/>
            <w:color w:val="000000"/>
            <w:sz w:val="22"/>
          </w:rPr>
          <w:t>70.32(4)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481—70.36</w:t>
      </w:r>
      <w:r>
        <w:rPr>
          <w:rFonts w:ascii="Times New Roman" w:hAnsi="Times New Roman"/>
          <w:b/>
          <w:i w:val="false"/>
          <w:color w:val="000000"/>
          <w:sz w:val="22"/>
        </w:rPr>
        <w:t xml:space="preserve">(231D)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participant’s participation in an adult day services program that receives reimbursement through the medical assistance program under Iowa Code chapter </w:t>
      </w:r>
      <w:hyperlink r:id="rId5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participant or the participant’s personal representative whether the participant is a veteran or whether the participant is the spouse, widow or dependent of a veteran and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70.36(2)</w:t>
      </w:r>
      <w:r>
        <w:rPr>
          <w:rFonts w:ascii="Times New Roman" w:hAnsi="Times New Roman"/>
          <w:b w:val="false"/>
          <w:i w:val="false"/>
          <w:color w:val="000000"/>
          <w:sz w:val="22"/>
        </w:rPr>
        <w:t> </w:t>
      </w:r>
      <w:r>
        <w:rPr>
          <w:rFonts w:ascii="Times New Roman" w:hAnsi="Times New Roman"/>
          <w:b w:val="false"/>
          <w:i w:val="false"/>
          <w:color w:val="000000"/>
          <w:sz w:val="22"/>
        </w:rPr>
        <w:t>If the participant may be a veteran or the spouse, widow, or dependent of a veteran, the program shall report the participant’s name along with the name of the veteran, if applicable, as well as the name of the contact person for this information, to the Iowa department of veterans affairs. The program may also report such information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participant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5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5">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Table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5063014" cy="639217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5063014" cy="6392178"/>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8177B</w:t>
      </w:r>
      <w:r>
        <w:rPr>
          <w:rFonts w:ascii="Times New Roman" w:hAnsi="Times New Roman"/>
          <w:b w:val="false"/>
          <w:i w:val="false"/>
          <w:color w:val="000000"/>
          <w:sz w:val="21"/>
        </w:rPr>
        <w:t xml:space="preserve"> (Notice ARC 7959B, IAB 7/15/09)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1376C</w:t>
      </w:r>
      <w:r>
        <w:rPr>
          <w:rFonts w:ascii="Times New Roman" w:hAnsi="Times New Roman"/>
          <w:b w:val="false"/>
          <w:i w:val="false"/>
          <w:color w:val="000000"/>
          <w:sz w:val="21"/>
        </w:rPr>
        <w:t xml:space="preserve"> (Notice ARC 1291C, IAB 1/22/14)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1547C</w:t>
      </w:r>
      <w:r>
        <w:rPr>
          <w:rFonts w:ascii="Times New Roman" w:hAnsi="Times New Roman"/>
          <w:b w:val="false"/>
          <w:i w:val="false"/>
          <w:color w:val="000000"/>
          <w:sz w:val="21"/>
        </w:rPr>
        <w:t xml:space="preserve"> (Notice ARC 1472C,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0066D</w:t>
      </w:r>
      <w:r>
        <w:rPr>
          <w:rFonts w:ascii="Times New Roman" w:hAnsi="Times New Roman"/>
          <w:b w:val="false"/>
          <w:i w:val="false"/>
          <w:color w:val="000000"/>
          <w:sz w:val="21"/>
        </w:rPr>
        <w:t xml:space="preserve"> (Notice ARC 9784C, IAB 12/10/25)</w:t>
      </w:r>
      <w:r>
        <w:rPr>
          <w:rFonts w:ascii="Times New Roman" w:hAnsi="Times New Roman"/>
          <w:b w:val="false"/>
          <w:i w:val="false"/>
          <w:color w:val="000000"/>
          <w:sz w:val="21"/>
        </w:rPr>
        <w:t>, IAB 2/4/26, effective 3/11/26]</w:t>
      </w:r>
    </w:p>
    <w:sectPr>
      <w:footerReference r:id="rId57"/>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D.pdf" Type="http://schemas.openxmlformats.org/officeDocument/2006/relationships/hyperlink" Id="rId6"/>
    <Relationship TargetMode="External" Target="https://www.legis.iowa.gov/docs/ico/chapter/231D.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co/chapter/137F.pdf" Type="http://schemas.openxmlformats.org/officeDocument/2006/relationships/hyperlink" Id="rId9"/>
    <Relationship TargetMode="External" Target="https://www.legis.iowa.gov/docs/iac/rule/481.70.30.pdf" Type="http://schemas.openxmlformats.org/officeDocument/2006/relationships/hyperlink" Id="rId10"/>
    <Relationship TargetMode="External" Target="https://www.legis.iowa.gov/docs/iac/rule/481.70.32.pdf" Type="http://schemas.openxmlformats.org/officeDocument/2006/relationships/hyperlink" Id="rId11"/>
    <Relationship TargetMode="External" Target="http://dia-hfd.iowa.gov" Type="http://schemas.openxmlformats.org/officeDocument/2006/relationships/hyperlink" Id="rId12"/>
    <Relationship TargetMode="External" Target="https://www.legis.iowa.gov/docs/iac/rule/481.70.4.pdf" Type="http://schemas.openxmlformats.org/officeDocument/2006/relationships/hyperlink" Id="rId13"/>
    <Relationship TargetMode="External" Target="https://www.legis.iowa.gov/docs/iac/rule/481.70.4.pdf" Type="http://schemas.openxmlformats.org/officeDocument/2006/relationships/hyperlink" Id="rId14"/>
    <Relationship TargetMode="External" Target="https://www.legis.iowa.gov/docs/ico/chapter/231D.5.pdf" Type="http://schemas.openxmlformats.org/officeDocument/2006/relationships/hyperlink" Id="rId15"/>
    <Relationship TargetMode="External" Target="https://www.legis.iowa.gov/docs/ico/chapter/135C.1.pdf" Type="http://schemas.openxmlformats.org/officeDocument/2006/relationships/hyperlink" Id="rId16"/>
    <Relationship TargetMode="External" Target="https://www.legis.iowa.gov/docs/ico/chapter/135B.1.pdf" Type="http://schemas.openxmlformats.org/officeDocument/2006/relationships/hyperlink" Id="rId17"/>
    <Relationship TargetMode="External" Target="https://www.legis.iowa.gov/docs/ico/chapter/231D.4.pdf" Type="http://schemas.openxmlformats.org/officeDocument/2006/relationships/hyperlink" Id="rId18"/>
    <Relationship TargetMode="External" Target="https://www.legis.iowa.gov/docs/iac/rule/481.67.10.pdf" Type="http://schemas.openxmlformats.org/officeDocument/2006/relationships/hyperlink" Id="rId19"/>
    <Relationship TargetMode="External" Target="https://www.legis.iowa.gov/docs/ico/chapter/231D.4.pdf" Type="http://schemas.openxmlformats.org/officeDocument/2006/relationships/hyperlink" Id="rId20"/>
    <Relationship TargetMode="External" Target="https://www.legis.iowa.gov/docs/iac/rule/481.70.3.pdf" Type="http://schemas.openxmlformats.org/officeDocument/2006/relationships/hyperlink" Id="rId21"/>
    <Relationship TargetMode="External" Target="http://dia-hfd.iowa.gov" Type="http://schemas.openxmlformats.org/officeDocument/2006/relationships/hyperlink" Id="rId22"/>
    <Relationship TargetMode="External" Target="https://www.legis.iowa.gov/docs/ico/chapter/231D.4.pdf" Type="http://schemas.openxmlformats.org/officeDocument/2006/relationships/hyperlink" Id="rId23"/>
    <Relationship TargetMode="External" Target="https://www.legis.iowa.gov/docs/iac/rule/481.70.4.pdf" Type="http://schemas.openxmlformats.org/officeDocument/2006/relationships/hyperlink" Id="rId24"/>
    <Relationship TargetMode="External" Target="https://www.legis.iowa.gov/docs/iac/rule/481.67.13.pdf" Type="http://schemas.openxmlformats.org/officeDocument/2006/relationships/hyperlink" Id="rId25"/>
    <Relationship TargetMode="External" Target="https://www.legis.iowa.gov/docs/iac/rule/481.70.9.pdf" Type="http://schemas.openxmlformats.org/officeDocument/2006/relationships/hyperlink" Id="rId26"/>
    <Relationship TargetMode="External" Target="https://www.legis.iowa.gov/docs/iac/rule/481.67.14.pdf" Type="http://schemas.openxmlformats.org/officeDocument/2006/relationships/hyperlink" Id="rId27"/>
    <Relationship TargetMode="External" Target="http://dia-hfd.iowa.gov/DIA_HFD/Home.do" Type="http://schemas.openxmlformats.org/officeDocument/2006/relationships/hyperlink" Id="rId28"/>
    <Relationship TargetMode="External" Target="https://www.legis.iowa.gov/docs/iac/rule/481.70.15.pdf" Type="http://schemas.openxmlformats.org/officeDocument/2006/relationships/hyperlink" Id="rId29"/>
    <Relationship TargetMode="External" Target="https://www.legis.iowa.gov/docs/ico/chapter/231D.pdf" Type="http://schemas.openxmlformats.org/officeDocument/2006/relationships/hyperlink" Id="rId30"/>
    <Relationship TargetMode="External" Target="https://www.legis.iowa.gov/docs/iac/chapter/481.67.pdf" Type="http://schemas.openxmlformats.org/officeDocument/2006/relationships/hyperlink" Id="rId31"/>
    <Relationship TargetMode="External" Target="http://dial.iowa.gov/licenses/building/plan-review" Type="http://schemas.openxmlformats.org/officeDocument/2006/relationships/hyperlink" Id="rId32"/>
    <Relationship TargetMode="External" Target="https://www.legis.iowa.gov/docs/iac/rule/481.70.18.pdf" Type="http://schemas.openxmlformats.org/officeDocument/2006/relationships/hyperlink" Id="rId33"/>
    <Relationship TargetMode="External" Target="https://www.legis.iowa.gov/docs/iac/rule/481.70.35.pdf" Type="http://schemas.openxmlformats.org/officeDocument/2006/relationships/hyperlink" Id="rId34"/>
    <Relationship TargetMode="External" Target="http://dial.iowa.gov/licenses/building/plan-review" Type="http://schemas.openxmlformats.org/officeDocument/2006/relationships/hyperlink" Id="rId35"/>
    <Relationship TargetMode="External" Target="https://www.legis.iowa.gov/docs/iac/rule/481.70.20.pdf" Type="http://schemas.openxmlformats.org/officeDocument/2006/relationships/hyperlink" Id="rId36"/>
    <Relationship TargetMode="External" Target="https://www.legis.iowa.gov/docs/ico/chapter/231D.17.pdf" Type="http://schemas.openxmlformats.org/officeDocument/2006/relationships/hyperlink" Id="rId37"/>
    <Relationship TargetMode="External" Target="https://www.legis.iowa.gov/docs/ico/chapter/231D.19.pdf" Type="http://schemas.openxmlformats.org/officeDocument/2006/relationships/hyperlink" Id="rId38"/>
    <Relationship TargetMode="External" Target="https://www.legis.iowa.gov/docs/ico/chapter/231D.18.pdf" Type="http://schemas.openxmlformats.org/officeDocument/2006/relationships/hyperlink" Id="rId39"/>
    <Relationship TargetMode="External" Target="https://www.legis.iowa.gov/docs/iac/rule/481.70.24.pdf" Type="http://schemas.openxmlformats.org/officeDocument/2006/relationships/hyperlink" Id="rId40"/>
    <Relationship TargetMode="External" Target="https://www.legis.iowa.gov/docs/iac/rule/481.67.13.pdf" Type="http://schemas.openxmlformats.org/officeDocument/2006/relationships/hyperlink" Id="rId41"/>
    <Relationship TargetMode="External" Target="https://www.legis.iowa.gov/docs/iac/chapter/481.67.pdf" Type="http://schemas.openxmlformats.org/officeDocument/2006/relationships/hyperlink" Id="rId42"/>
    <Relationship TargetMode="External" Target="https://www.legis.iowa.gov/docs/iac/rule/481.67.7.pdf" Type="http://schemas.openxmlformats.org/officeDocument/2006/relationships/hyperlink" Id="rId43"/>
    <Relationship TargetMode="External" Target="https://www.legis.iowa.gov/docs/iac/rule/481.67.5.pdf" Type="http://schemas.openxmlformats.org/officeDocument/2006/relationships/hyperlink" Id="rId44"/>
    <Relationship TargetMode="External" Target="https://www.legis.iowa.gov/docs/iac/rule/481.70.22.pdf" Type="http://schemas.openxmlformats.org/officeDocument/2006/relationships/hyperlink" Id="rId45"/>
    <Relationship TargetMode="External" Target="https://www.legis.iowa.gov/docs/iac/rule/481.70.26.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ac/rule/481.70.28.pdf" Type="http://schemas.openxmlformats.org/officeDocument/2006/relationships/hyperlink" Id="rId48"/>
    <Relationship TargetMode="External" Target="https://www.legis.iowa.gov/docs/ico/chapter/137F.pdf" Type="http://schemas.openxmlformats.org/officeDocument/2006/relationships/hyperlink" Id="rId49"/>
    <Relationship TargetMode="External" Target="https://www.legis.iowa.gov/docs/iac/rule/481.67.9.pdf" Type="http://schemas.openxmlformats.org/officeDocument/2006/relationships/hyperlink" Id="rId50"/>
    <Relationship TargetMode="External" Target="https://www.legis.iowa.gov/docs/iac/rule/481.70.30.pdf" Type="http://schemas.openxmlformats.org/officeDocument/2006/relationships/hyperlink" Id="rId51"/>
    <Relationship TargetMode="External" Target="https://www.legis.iowa.gov/docs/iac/rule/481.70.32.pdf" Type="http://schemas.openxmlformats.org/officeDocument/2006/relationships/hyperlink" Id="rId52"/>
    <Relationship TargetMode="External" Target="https://www.legis.iowa.gov/docs/ico/chapter/249A.pdf" Type="http://schemas.openxmlformats.org/officeDocument/2006/relationships/hyperlink" Id="rId53"/>
    <Relationship TargetMode="External" Target="https://www.legis.iowa.gov/docs/ico/chapter/249A.pdf" Type="http://schemas.openxmlformats.org/officeDocument/2006/relationships/hyperlink" Id="rId54"/>
    <Relationship TargetMode="External" Target="https://www.legis.iowa.gov/docs/ico/chapter/231D.pdf" Type="http://schemas.openxmlformats.org/officeDocument/2006/relationships/hyperlink" Id="rId55"/>
    <Relationship Target="media/document_image_rId56.jpeg" Type="http://schemas.openxmlformats.org/officeDocument/2006/relationships/image" Id="rId56"/>
    <Relationship Target="footer.xml" Type="http://schemas.openxmlformats.org/officeDocument/2006/relationships/footer"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