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pBdr>
          <w:bottom w:space="3"/>
        </w:pBdr>
        <w:spacing w:before="0" w:after="0"/>
        <w:ind w:left="120"/>
        <w:jc w:val="center"/>
      </w:pPr>
      <w:r>
        <w:rPr>
          <w:rFonts w:ascii="Times New Roman" w:hAnsi="Times New Roman"/>
          <w:b w:val="false"/>
          <w:i/>
          <w:color w:val="000000"/>
          <w:sz w:val="16"/>
        </w:rPr>
        <w:t>IOWA ATHLETIC COMMISSION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w:t>
      </w:r>
    </w:p>
    <w:p>
      <w:pPr>
        <w:spacing w:before="0" w:after="0"/>
        <w:ind w:left="120"/>
        <w:jc w:val="center"/>
      </w:pPr>
      <w:r>
        <w:rPr>
          <w:rFonts w:ascii="Times New Roman" w:hAnsi="Times New Roman"/>
          <w:b w:val="false"/>
          <w:i w:val="false"/>
          <w:color w:val="000000"/>
          <w:sz w:val="21"/>
        </w:rPr>
        <w:t>GENERAL REQUIREMENTS FOR ATHLETIC COMMISSION EVENTS</w:t>
      </w:r>
    </w:p>
    <w:p>
      <w:pPr>
        <w:spacing w:before="0" w:after="0"/>
        <w:ind w:left="120"/>
        <w:jc w:val="center"/>
      </w:pPr>
      <w:r>
        <w:rPr>
          <w:rFonts w:ascii="Times New Roman" w:hAnsi="Times New Roman"/>
          <w:b w:val="false"/>
          <w:i w:val="false"/>
          <w:color w:val="000000"/>
          <w:sz w:val="14"/>
        </w:rPr>
        <w:t>[Prior to 7/9/25, see Labor Services Division[875] Ch 169]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481—250.1</w:t>
      </w:r>
      <w:r>
        <w:rPr>
          <w:rFonts w:ascii="Times New Roman" w:hAnsi="Times New Roman"/>
          <w:b/>
          <w:i w:val="false"/>
          <w:color w:val="000000"/>
          <w:sz w:val="22"/>
        </w:rPr>
        <w:t xml:space="preserve">(90A) </w:t>
      </w:r>
      <w:r>
        <w:rPr>
          <w:rFonts w:ascii="Times New Roman" w:hAnsi="Times New Roman"/>
          <w:b/>
          <w:i w:val="false"/>
          <w:color w:val="000000"/>
          <w:sz w:val="22"/>
        </w:rPr>
        <w:t xml:space="preserve">Scope and application. </w:t>
      </w:r>
      <w:r>
        <w:rPr>
          <w:rFonts w:ascii="Times New Roman" w:hAnsi="Times New Roman"/>
          <w:b w:val="false"/>
          <w:i w:val="false"/>
          <w:color w:val="000000"/>
          <w:sz w:val="22"/>
        </w:rPr>
        <w:t xml:space="preserve">Unless otherwise noted, this chapter applies to each event covered by Iowa Code chapter </w:t>
      </w:r>
      <w:hyperlink r:id="rId5">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481—250.2</w:t>
      </w:r>
      <w:r>
        <w:rPr>
          <w:rFonts w:ascii="Times New Roman" w:hAnsi="Times New Roman"/>
          <w:b/>
          <w:i w:val="false"/>
          <w:color w:val="000000"/>
          <w:sz w:val="22"/>
        </w:rPr>
        <w:t xml:space="preserve">(92)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481—Chapters </w:t>
      </w:r>
      <w:hyperlink r:id="rId6">
        <w:r>
          <w:rPr>
            <w:rStyle w:val="Hyperlink"/>
            <w:rFonts w:ascii="Times New Roman" w:hAnsi="Times New Roman"/>
            <w:b w:val="false"/>
            <w:i w:val="false"/>
            <w:color w:val="000000"/>
            <w:sz w:val="22"/>
          </w:rPr>
          <w:t>250</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260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state commissioner of athletics, who is also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includes a physician assistant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wrestling” </w:t>
      </w:r>
      <w:r>
        <w:rPr>
          <w:rFonts w:ascii="Times New Roman" w:hAnsi="Times New Roman"/>
          <w:b w:val="false"/>
          <w:i w:val="false"/>
          <w:color w:val="000000"/>
          <w:sz w:val="22"/>
        </w:rPr>
        <w:t>is an exhibition in which the participants display their skills in a physical struggle against each other for entertainment and does not comprise a bona fide athletic contest or competition.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481—250.3</w:t>
      </w:r>
      <w:r>
        <w:rPr>
          <w:rFonts w:ascii="Times New Roman" w:hAnsi="Times New Roman"/>
          <w:b/>
          <w:i w:val="false"/>
          <w:color w:val="000000"/>
          <w:sz w:val="22"/>
        </w:rPr>
        <w:t xml:space="preserve">(90A) </w:t>
      </w:r>
      <w:r>
        <w:rPr>
          <w:rFonts w:ascii="Times New Roman" w:hAnsi="Times New Roman"/>
          <w:b/>
          <w:i w:val="false"/>
          <w:color w:val="000000"/>
          <w:sz w:val="22"/>
        </w:rPr>
        <w:t xml:space="preserve">Prohibited events. </w:t>
      </w:r>
      <w:r>
        <w:rPr>
          <w:rFonts w:ascii="Times New Roman" w:hAnsi="Times New Roman"/>
          <w:b w:val="false"/>
          <w:i w:val="false"/>
          <w:color w:val="000000"/>
          <w:sz w:val="22"/>
        </w:rPr>
        <w:t>No promoter shall arrange or advertise: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250.3(1)</w:t>
      </w:r>
      <w:r>
        <w:rPr>
          <w:rFonts w:ascii="Times New Roman" w:hAnsi="Times New Roman"/>
          <w:b w:val="false"/>
          <w:i w:val="false"/>
          <w:color w:val="000000"/>
          <w:sz w:val="22"/>
        </w:rPr>
        <w:t> </w:t>
      </w:r>
      <w:r>
        <w:rPr>
          <w:rFonts w:ascii="Times New Roman" w:hAnsi="Times New Roman"/>
          <w:b w:val="false"/>
          <w:i w:val="false"/>
          <w:color w:val="000000"/>
          <w:sz w:val="22"/>
        </w:rPr>
        <w:t>A match between persons of the opposite sex;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250.3(2)</w:t>
      </w:r>
      <w:r>
        <w:rPr>
          <w:rFonts w:ascii="Times New Roman" w:hAnsi="Times New Roman"/>
          <w:b w:val="false"/>
          <w:i w:val="false"/>
          <w:color w:val="000000"/>
          <w:sz w:val="22"/>
        </w:rPr>
        <w:t> </w:t>
      </w:r>
      <w:r>
        <w:rPr>
          <w:rFonts w:ascii="Times New Roman" w:hAnsi="Times New Roman"/>
          <w:b w:val="false"/>
          <w:i w:val="false"/>
          <w:color w:val="000000"/>
          <w:sz w:val="22"/>
        </w:rPr>
        <w:t>A match between more than two contestants;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250.3(3)</w:t>
      </w:r>
      <w:r>
        <w:rPr>
          <w:rFonts w:ascii="Times New Roman" w:hAnsi="Times New Roman"/>
          <w:b w:val="false"/>
          <w:i w:val="false"/>
          <w:color w:val="000000"/>
          <w:sz w:val="22"/>
        </w:rPr>
        <w:t> </w:t>
      </w:r>
      <w:r>
        <w:rPr>
          <w:rFonts w:ascii="Times New Roman" w:hAnsi="Times New Roman"/>
          <w:b w:val="false"/>
          <w:i w:val="false"/>
          <w:color w:val="000000"/>
          <w:sz w:val="22"/>
        </w:rPr>
        <w:t>A match with a contestant who is younger than 18 years of 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481—250.4</w:t>
      </w:r>
      <w:r>
        <w:rPr>
          <w:rFonts w:ascii="Times New Roman" w:hAnsi="Times New Roman"/>
          <w:b/>
          <w:i w:val="false"/>
          <w:color w:val="000000"/>
          <w:sz w:val="22"/>
        </w:rPr>
        <w:t xml:space="preserve">(90A) </w:t>
      </w:r>
      <w:r>
        <w:rPr>
          <w:rFonts w:ascii="Times New Roman" w:hAnsi="Times New Roman"/>
          <w:b/>
          <w:i w:val="false"/>
          <w:color w:val="000000"/>
          <w:sz w:val="22"/>
        </w:rPr>
        <w:t xml:space="preserve">Advance notice of event. </w:t>
      </w:r>
      <w:r>
        <w:rPr>
          <w:rFonts w:ascii="Times New Roman" w:hAnsi="Times New Roman"/>
          <w:b w:val="false"/>
          <w:i w:val="false"/>
          <w:color w:val="000000"/>
          <w:sz w:val="22"/>
        </w:rPr>
        <w:t>A promoter shall submit advance notice of an event, other than a professional wrestling event, to the commissioner on the form provided by the commissioner at least 60 days prior to the event but not more than six months prior to the event. The advance notice includes: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250.4(1)</w:t>
      </w:r>
      <w:r>
        <w:rPr>
          <w:rFonts w:ascii="Times New Roman" w:hAnsi="Times New Roman"/>
          <w:b w:val="false"/>
          <w:i w:val="false"/>
          <w:color w:val="000000"/>
          <w:sz w:val="22"/>
        </w:rPr>
        <w:t> </w:t>
      </w:r>
      <w:r>
        <w:rPr>
          <w:rFonts w:ascii="Times New Roman" w:hAnsi="Times New Roman"/>
          <w:b w:val="false"/>
          <w:i w:val="false"/>
          <w:color w:val="000000"/>
          <w:sz w:val="22"/>
        </w:rPr>
        <w:t>The date, time, type, and location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250.4(2)</w:t>
      </w:r>
      <w:r>
        <w:rPr>
          <w:rFonts w:ascii="Times New Roman" w:hAnsi="Times New Roman"/>
          <w:b w:val="false"/>
          <w:i w:val="false"/>
          <w:color w:val="000000"/>
          <w:sz w:val="22"/>
        </w:rPr>
        <w:t> </w:t>
      </w:r>
      <w:r>
        <w:rPr>
          <w:rFonts w:ascii="Times New Roman" w:hAnsi="Times New Roman"/>
          <w:b w:val="false"/>
          <w:i w:val="false"/>
          <w:color w:val="000000"/>
          <w:sz w:val="22"/>
        </w:rPr>
        <w:t>The promoter’s name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250.4(3)</w:t>
      </w:r>
      <w:r>
        <w:rPr>
          <w:rFonts w:ascii="Times New Roman" w:hAnsi="Times New Roman"/>
          <w:b w:val="false"/>
          <w:i w:val="false"/>
          <w:color w:val="000000"/>
          <w:sz w:val="22"/>
        </w:rPr>
        <w:t> </w:t>
      </w:r>
      <w:r>
        <w:rPr>
          <w:rFonts w:ascii="Times New Roman" w:hAnsi="Times New Roman"/>
          <w:b w:val="false"/>
          <w:i w:val="false"/>
          <w:color w:val="000000"/>
          <w:sz w:val="22"/>
        </w:rPr>
        <w:t>One-half of the required event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250.4(4)</w:t>
      </w:r>
      <w:r>
        <w:rPr>
          <w:rFonts w:ascii="Times New Roman" w:hAnsi="Times New Roman"/>
          <w:b w:val="false"/>
          <w:i w:val="false"/>
          <w:color w:val="000000"/>
          <w:sz w:val="22"/>
        </w:rPr>
        <w:t> </w:t>
      </w:r>
      <w:r>
        <w:rPr>
          <w:rFonts w:ascii="Times New Roman" w:hAnsi="Times New Roman"/>
          <w:b w:val="false"/>
          <w:i w:val="false"/>
          <w:color w:val="000000"/>
          <w:sz w:val="22"/>
        </w:rPr>
        <w:t>Whether the event is indoors or outdoors;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250.4(5)</w:t>
      </w:r>
      <w:r>
        <w:rPr>
          <w:rFonts w:ascii="Times New Roman" w:hAnsi="Times New Roman"/>
          <w:b w:val="false"/>
          <w:i w:val="false"/>
          <w:color w:val="000000"/>
          <w:sz w:val="22"/>
        </w:rPr>
        <w:t> </w:t>
      </w:r>
      <w:r>
        <w:rPr>
          <w:rFonts w:ascii="Times New Roman" w:hAnsi="Times New Roman"/>
          <w:b w:val="false"/>
          <w:i w:val="false"/>
          <w:color w:val="000000"/>
          <w:sz w:val="22"/>
        </w:rPr>
        <w:t>Other relevant information requested by the commissioner on the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481—250.5</w:t>
      </w:r>
      <w:r>
        <w:rPr>
          <w:rFonts w:ascii="Times New Roman" w:hAnsi="Times New Roman"/>
          <w:b/>
          <w:i w:val="false"/>
          <w:color w:val="000000"/>
          <w:sz w:val="22"/>
        </w:rPr>
        <w:t xml:space="preserve">(90A) </w:t>
      </w:r>
      <w:r>
        <w:rPr>
          <w:rFonts w:ascii="Times New Roman" w:hAnsi="Times New Roman"/>
          <w:b/>
          <w:i w:val="false"/>
          <w:color w:val="000000"/>
          <w:sz w:val="22"/>
        </w:rPr>
        <w:t xml:space="preserve">Event license. </w:t>
      </w:r>
      <w:r>
        <w:rPr>
          <w:rFonts w:ascii="Times New Roman" w:hAnsi="Times New Roman"/>
          <w:b w:val="false"/>
          <w:i w:val="false"/>
          <w:color w:val="000000"/>
          <w:sz w:val="22"/>
        </w:rPr>
        <w:t>A promoter may hold a mixed martial arts match, professional boxing match, or wrestling match only if the commissioner has issued an event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promoter shall submit a completed application for a license on the form provided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professional wrestling event, the application shall be submitted at least seven days prior to the event and include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promoter’s name, address, telephone number and other contact information as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event date, venue name, and venue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nonrefundable $100 event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promoter’s signature;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bond as described in subparagraph </w:t>
      </w:r>
      <w:hyperlink r:id="rId8">
        <w:r>
          <w:rPr>
            <w:rStyle w:val="Hyperlink"/>
            <w:rFonts w:ascii="Times New Roman" w:hAnsi="Times New Roman"/>
            <w:b w:val="false"/>
            <w:i w:val="false"/>
            <w:color w:val="000000"/>
            <w:sz w:val="22"/>
          </w:rPr>
          <w:t>250.5(1)</w:t>
        </w:r>
      </w:hyperlink>
      <w:r>
        <w:rPr>
          <w:rFonts w:ascii="Times New Roman" w:hAnsi="Times New Roman"/>
          <w:b w:val="false"/>
          <w:i/>
          <w:color w:val="000000"/>
          <w:sz w:val="22"/>
        </w:rPr>
        <w:t>“b”</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any other covered event, the application shall be submitted at least 60 days prior to the event and include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time, type, and location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promoter’s name, address,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One-half of the required event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medical license of the ringside physician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the weighing of the contestants;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emergency medical services company, and the security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 and contact information for the certified law enforcement officer who will attend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of the ringside physician’s or physician assistant’s examination of the contestants;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Certificates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 bond in the sum of $5,000, payable to the State of Iowa, conditioned upon the payment of the tax and penalties imposed by Iowa Code chapter </w:t>
      </w:r>
      <w:hyperlink r:id="rId9">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unless the promoter has a current valid bond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person designated to clean between rounds;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Other information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250.5(2)</w:t>
      </w:r>
      <w:r>
        <w:rPr>
          <w:rFonts w:ascii="Times New Roman" w:hAnsi="Times New Roman"/>
          <w:b w:val="false"/>
          <w:i w:val="false"/>
          <w:color w:val="000000"/>
          <w:sz w:val="22"/>
        </w:rPr>
        <w:t> </w:t>
      </w:r>
      <w:r>
        <w:rPr>
          <w:rFonts w:ascii="Times New Roman" w:hAnsi="Times New Roman"/>
          <w:b w:val="false"/>
          <w:i/>
          <w:color w:val="000000"/>
          <w:sz w:val="22"/>
        </w:rPr>
        <w:t xml:space="preserve">Event license fees. </w:t>
      </w:r>
      <w:r>
        <w:rPr>
          <w:rFonts w:ascii="Times New Roman" w:hAnsi="Times New Roman"/>
          <w:b w:val="false"/>
          <w:i w:val="false"/>
          <w:color w:val="000000"/>
          <w:sz w:val="22"/>
        </w:rPr>
        <w:t>The nonrefundable event license fee is $100 for a professional wrestling event and $450 for all other covered events. A professional wrestling promoter shall submit the event license fee with the event license application at least 7 days prior to the event. For all other covered events, the promoter shall submit one-half of the event license fee with the advance notice of the event at least 60 days prior to the event, and one-half of the event license fee with the event license application at least 7 days prior to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250.5(3)</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The decision to issue an event license is solely within the discretion of the commissioner. The following factors will be considered by the commissioner when deciding whether to issue an event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the promoter filed advance notice of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promoter’s prior compliance with Iowa Code chapter </w:t>
      </w:r>
      <w:hyperlink r:id="rId10">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xml:space="preserve"> and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conflicting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Ability of the commissioner to provide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promoter’s history of canceling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Anticipated tax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Completeness of application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event is indoors or outdoors.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250.5(4)</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When the commissioner finds that failure to provide adequate security to maintain public safety requires emergency action, the commissioner  may immediately suspend the event license, pending license revocation procedures pursuant to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481—250.6</w:t>
      </w:r>
      <w:r>
        <w:rPr>
          <w:rFonts w:ascii="Times New Roman" w:hAnsi="Times New Roman"/>
          <w:b/>
          <w:i w:val="false"/>
          <w:color w:val="000000"/>
          <w:sz w:val="22"/>
        </w:rPr>
        <w:t xml:space="preserve">(90A) </w:t>
      </w:r>
      <w:r>
        <w:rPr>
          <w:rFonts w:ascii="Times New Roman" w:hAnsi="Times New Roman"/>
          <w:b/>
          <w:i w:val="false"/>
          <w:color w:val="000000"/>
          <w:sz w:val="22"/>
        </w:rPr>
        <w:t xml:space="preserve">Promoter responsibilities. </w:t>
      </w:r>
      <w:r>
        <w:rPr>
          <w:rFonts w:ascii="Times New Roman" w:hAnsi="Times New Roman"/>
          <w:b w:val="false"/>
          <w:i w:val="false"/>
          <w:color w:val="000000"/>
          <w:sz w:val="22"/>
        </w:rPr>
        <w:t xml:space="preserve">The promoter of a professional wrestling event is responsible for subrules </w:t>
      </w:r>
      <w:hyperlink r:id="rId12">
        <w:r>
          <w:rPr>
            <w:rStyle w:val="Hyperlink"/>
            <w:rFonts w:ascii="Times New Roman" w:hAnsi="Times New Roman"/>
            <w:b w:val="false"/>
            <w:i w:val="false"/>
            <w:color w:val="000000"/>
            <w:sz w:val="22"/>
          </w:rPr>
          <w:t>250.6(1) through 250.6(6)</w:t>
        </w:r>
      </w:hyperlink>
      <w:r>
        <w:rPr>
          <w:rFonts w:ascii="Times New Roman" w:hAnsi="Times New Roman"/>
          <w:b w:val="false"/>
          <w:i w:val="false"/>
          <w:color w:val="000000"/>
          <w:sz w:val="22"/>
        </w:rPr>
        <w:t>. All other promoters are responsible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compliance with Iowa Code chapter </w:t>
      </w:r>
      <w:hyperlink r:id="rId13">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xml:space="preserve"> and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w:t>
      </w:r>
      <w:r>
        <w:rPr>
          <w:rFonts w:ascii="Times New Roman" w:hAnsi="Times New Roman"/>
          <w:b w:val="false"/>
          <w:i w:val="false"/>
          <w:color w:val="000000"/>
          <w:sz w:val="22"/>
        </w:rPr>
        <w:t> </w:t>
      </w:r>
      <w:r>
        <w:rPr>
          <w:rFonts w:ascii="Times New Roman" w:hAnsi="Times New Roman"/>
          <w:b w:val="false"/>
          <w:i w:val="false"/>
          <w:color w:val="000000"/>
          <w:sz w:val="22"/>
        </w:rPr>
        <w:t>Ensure that the referees are familiar with and enforce the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conduct and attendance of all officials and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w:t>
      </w:r>
      <w:r>
        <w:rPr>
          <w:rFonts w:ascii="Times New Roman" w:hAnsi="Times New Roman"/>
          <w:b w:val="false"/>
          <w:i w:val="false"/>
          <w:color w:val="000000"/>
          <w:sz w:val="22"/>
        </w:rPr>
        <w:t> </w:t>
      </w:r>
      <w:r>
        <w:rPr>
          <w:rFonts w:ascii="Times New Roman" w:hAnsi="Times New Roman"/>
          <w:b w:val="false"/>
          <w:i w:val="false"/>
          <w:color w:val="000000"/>
          <w:sz w:val="22"/>
        </w:rPr>
        <w:t>Ensure that adequate public safety is maintained at all events. Adequate personnel provided by a private security company and at least one certified law enforcement officer shall be furnished by the promoter.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w:t>
      </w:r>
      <w:r>
        <w:rPr>
          <w:rFonts w:ascii="Times New Roman" w:hAnsi="Times New Roman"/>
          <w:b w:val="false"/>
          <w:i w:val="false"/>
          <w:color w:val="000000"/>
          <w:sz w:val="22"/>
        </w:rPr>
        <w:t> </w:t>
      </w:r>
      <w:r>
        <w:rPr>
          <w:rFonts w:ascii="Times New Roman" w:hAnsi="Times New Roman"/>
          <w:b w:val="false"/>
          <w:i w:val="false"/>
          <w:color w:val="000000"/>
          <w:sz w:val="22"/>
        </w:rPr>
        <w:t>Ensure that a referee inspects the gloves, bandages, and body of each contestant for foreign substances that might be detrimental to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w:t>
      </w:r>
      <w:r>
        <w:rPr>
          <w:rFonts w:ascii="Times New Roman" w:hAnsi="Times New Roman"/>
          <w:b w:val="false"/>
          <w:i w:val="false"/>
          <w:color w:val="000000"/>
          <w:sz w:val="22"/>
        </w:rPr>
        <w:t> </w:t>
      </w:r>
      <w:r>
        <w:rPr>
          <w:rFonts w:ascii="Times New Roman" w:hAnsi="Times New Roman"/>
          <w:b w:val="false"/>
          <w:i w:val="false"/>
          <w:color w:val="000000"/>
          <w:sz w:val="22"/>
        </w:rPr>
        <w:t>Ensure that contestants have closely trimmed fingernails.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250.6(7)</w:t>
      </w:r>
      <w:r>
        <w:rPr>
          <w:rFonts w:ascii="Times New Roman" w:hAnsi="Times New Roman"/>
          <w:b w:val="false"/>
          <w:i w:val="false"/>
          <w:color w:val="000000"/>
          <w:sz w:val="22"/>
        </w:rPr>
        <w:t> </w:t>
      </w:r>
      <w:r>
        <w:rPr>
          <w:rFonts w:ascii="Times New Roman" w:hAnsi="Times New Roman"/>
          <w:b w:val="false"/>
          <w:i w:val="false"/>
          <w:color w:val="000000"/>
          <w:sz w:val="22"/>
        </w:rPr>
        <w:t>Provide officials and participants who are subject to approval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250.6(8)</w:t>
      </w:r>
      <w:r>
        <w:rPr>
          <w:rFonts w:ascii="Times New Roman" w:hAnsi="Times New Roman"/>
          <w:b w:val="false"/>
          <w:i w:val="false"/>
          <w:color w:val="000000"/>
          <w:sz w:val="22"/>
        </w:rPr>
        <w:t> </w:t>
      </w:r>
      <w:r>
        <w:rPr>
          <w:rFonts w:ascii="Times New Roman" w:hAnsi="Times New Roman"/>
          <w:b w:val="false"/>
          <w:i w:val="false"/>
          <w:color w:val="000000"/>
          <w:sz w:val="22"/>
        </w:rPr>
        <w:t>Be available to the commissioner throughout an event or identify a designee who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Available to the commissioner throughout an event;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Authorized by the promoter to address issues that may arise.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250.6(9)</w:t>
      </w:r>
      <w:r>
        <w:rPr>
          <w:rFonts w:ascii="Times New Roman" w:hAnsi="Times New Roman"/>
          <w:b w:val="false"/>
          <w:i w:val="false"/>
          <w:color w:val="000000"/>
          <w:sz w:val="22"/>
        </w:rPr>
        <w:t> </w:t>
      </w:r>
      <w:r>
        <w:rPr>
          <w:rFonts w:ascii="Times New Roman" w:hAnsi="Times New Roman"/>
          <w:b w:val="false"/>
          <w:i w:val="false"/>
          <w:color w:val="000000"/>
          <w:sz w:val="22"/>
        </w:rPr>
        <w:t>Enter into a written contract with each contestant using the form furnished by the commissioner. Other adequate proof of acceptance of terms will be considered an agreement between a contestant, the contestant’s manager and the promoter, pending the actual signing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w:t>
      </w:r>
      <w:r>
        <w:rPr>
          <w:rFonts w:ascii="Times New Roman" w:hAnsi="Times New Roman"/>
          <w:b w:val="false"/>
          <w:i w:val="false"/>
          <w:color w:val="000000"/>
          <w:sz w:val="22"/>
        </w:rPr>
        <w:t> </w:t>
      </w:r>
      <w:r>
        <w:rPr>
          <w:rFonts w:ascii="Times New Roman" w:hAnsi="Times New Roman"/>
          <w:b w:val="false"/>
          <w:i w:val="false"/>
          <w:color w:val="000000"/>
          <w:sz w:val="22"/>
        </w:rPr>
        <w:t>Provide appropriate gloves.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w:t>
      </w:r>
      <w:r>
        <w:rPr>
          <w:rFonts w:ascii="Times New Roman" w:hAnsi="Times New Roman"/>
          <w:b w:val="false"/>
          <w:i w:val="false"/>
          <w:color w:val="000000"/>
          <w:sz w:val="22"/>
        </w:rPr>
        <w:t> </w:t>
      </w:r>
      <w:r>
        <w:rPr>
          <w:rFonts w:ascii="Times New Roman" w:hAnsi="Times New Roman"/>
          <w:b w:val="false"/>
          <w:i w:val="false"/>
          <w:color w:val="000000"/>
          <w:sz w:val="22"/>
        </w:rPr>
        <w:t>Provide and maintain a container with a solution able to clean bodily fluids from any part of the cage, cage enclosure, or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w:t>
      </w:r>
      <w:r>
        <w:rPr>
          <w:rFonts w:ascii="Times New Roman" w:hAnsi="Times New Roman"/>
          <w:b w:val="false"/>
          <w:i w:val="false"/>
          <w:color w:val="000000"/>
          <w:sz w:val="22"/>
        </w:rPr>
        <w:t> </w:t>
      </w:r>
      <w:r>
        <w:rPr>
          <w:rFonts w:ascii="Times New Roman" w:hAnsi="Times New Roman"/>
          <w:b w:val="false"/>
          <w:i w:val="false"/>
          <w:color w:val="000000"/>
          <w:sz w:val="22"/>
        </w:rPr>
        <w:t>Ensure that an ambulance and ambulance service authorized at the EMT-B, EMT-I, EMT-P or paramedic specialist level are present at the event. A promoter is fully responsible for all charges assessed by the ambulance service related to the event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Charges covered by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Charges for services provided to persons other than participants and officials.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w:t>
      </w:r>
      <w:r>
        <w:rPr>
          <w:rFonts w:ascii="Times New Roman" w:hAnsi="Times New Roman"/>
          <w:b w:val="false"/>
          <w:i w:val="false"/>
          <w:color w:val="000000"/>
          <w:sz w:val="22"/>
        </w:rPr>
        <w:t> </w:t>
      </w:r>
      <w:r>
        <w:rPr>
          <w:rFonts w:ascii="Times New Roman" w:hAnsi="Times New Roman"/>
          <w:b w:val="false"/>
          <w:i w:val="false"/>
          <w:color w:val="000000"/>
          <w:sz w:val="22"/>
        </w:rPr>
        <w:t>Ensure that contestants are wearing appropriate attire, gloves, and other necessary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250.6(14)</w:t>
      </w:r>
      <w:r>
        <w:rPr>
          <w:rFonts w:ascii="Times New Roman" w:hAnsi="Times New Roman"/>
          <w:b w:val="false"/>
          <w:i w:val="false"/>
          <w:color w:val="000000"/>
          <w:sz w:val="22"/>
        </w:rPr>
        <w:t> </w:t>
      </w:r>
      <w:r>
        <w:rPr>
          <w:rFonts w:ascii="Times New Roman" w:hAnsi="Times New Roman"/>
          <w:b w:val="false"/>
          <w:i w:val="false"/>
          <w:color w:val="000000"/>
          <w:sz w:val="22"/>
        </w:rPr>
        <w:t>Provide a suitable, clean, and private space for contestants to change clothes.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w:t>
      </w:r>
      <w:r>
        <w:rPr>
          <w:rFonts w:ascii="Times New Roman" w:hAnsi="Times New Roman"/>
          <w:b w:val="false"/>
          <w:i w:val="false"/>
          <w:color w:val="000000"/>
          <w:sz w:val="22"/>
        </w:rPr>
        <w:t> </w:t>
      </w:r>
      <w:r>
        <w:rPr>
          <w:rFonts w:ascii="Times New Roman" w:hAnsi="Times New Roman"/>
          <w:b w:val="false"/>
          <w:i w:val="false"/>
          <w:color w:val="000000"/>
          <w:sz w:val="22"/>
        </w:rPr>
        <w:t>Submit to the ringside physician or physician assistant no later than at the time of the physicals test results showing that each contestant scheduled for the event tested negative for the human immunodeficiency, hepatitis B, and hepatitis C viruses within 12 months prior to the event. The contestant shall not participate and the physician or physician assistant shall notify the promoter that the contestant is prohibited from participating for medical reasons if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promoter does not produce timely proof of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test results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laboratory is not properly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test was performed more than 12 months prior to the event;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test results are otherwise deficient.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250.6(16)</w:t>
      </w:r>
      <w:r>
        <w:rPr>
          <w:rFonts w:ascii="Times New Roman" w:hAnsi="Times New Roman"/>
          <w:b w:val="false"/>
          <w:i w:val="false"/>
          <w:color w:val="000000"/>
          <w:sz w:val="22"/>
        </w:rPr>
        <w:t> </w:t>
      </w:r>
      <w:r>
        <w:rPr>
          <w:rFonts w:ascii="Times New Roman" w:hAnsi="Times New Roman"/>
          <w:b w:val="false"/>
          <w:i w:val="false"/>
          <w:color w:val="000000"/>
          <w:sz w:val="22"/>
        </w:rPr>
        <w:t>Obtain from a company authorized to do business in the state of Iowa $10,000 of health insurance coverage on each contestant to provide for medical, surgical and hospital care for injuries sustained and illnesses contracted during the event. If there is a deductible, it shall not exceed $1,500. If the contestant pays for covered care, the insurance proceeds shall be paid to the contestant or the contestant’s beneficiaries as reimbursement for payment. In the event of a claim, payment of the deductible is the sole responsibility of the promoter.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250.6(17)</w:t>
      </w:r>
      <w:r>
        <w:rPr>
          <w:rFonts w:ascii="Times New Roman" w:hAnsi="Times New Roman"/>
          <w:b w:val="false"/>
          <w:i w:val="false"/>
          <w:color w:val="000000"/>
          <w:sz w:val="22"/>
        </w:rPr>
        <w:t> </w:t>
      </w:r>
      <w:r>
        <w:rPr>
          <w:rFonts w:ascii="Times New Roman" w:hAnsi="Times New Roman"/>
          <w:b w:val="false"/>
          <w:i w:val="false"/>
          <w:color w:val="000000"/>
          <w:sz w:val="22"/>
        </w:rPr>
        <w:t>Obtain from a company authorized to do business in the state of Iowa no less than $10,000 of life insurance coverage on each contestant to cover death caused by injuries sustained or illnesses contracted during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250.6(18)</w:t>
      </w:r>
      <w:r>
        <w:rPr>
          <w:rFonts w:ascii="Times New Roman" w:hAnsi="Times New Roman"/>
          <w:b w:val="false"/>
          <w:i w:val="false"/>
          <w:color w:val="000000"/>
          <w:sz w:val="22"/>
        </w:rPr>
        <w:t> </w:t>
      </w:r>
      <w:r>
        <w:rPr>
          <w:rFonts w:ascii="Times New Roman" w:hAnsi="Times New Roman"/>
          <w:b w:val="false"/>
          <w:i w:val="false"/>
          <w:color w:val="000000"/>
          <w:sz w:val="22"/>
        </w:rPr>
        <w:t>No later than the day of the event, ensure that each contestant makes available to the commissioner’s representative suitable proof of age consisting of one of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passport;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baptismal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U.S. visa;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identification card issued to the contestant by a governmental entity and that includes the contestant’s photograph and birth date;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U.S. resident alien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250.6(19)</w:t>
      </w:r>
      <w:r>
        <w:rPr>
          <w:rFonts w:ascii="Times New Roman" w:hAnsi="Times New Roman"/>
          <w:b w:val="false"/>
          <w:i w:val="false"/>
          <w:color w:val="000000"/>
          <w:sz w:val="22"/>
        </w:rPr>
        <w:t> </w:t>
      </w:r>
      <w:r>
        <w:rPr>
          <w:rFonts w:ascii="Times New Roman" w:hAnsi="Times New Roman"/>
          <w:b w:val="false"/>
          <w:i w:val="false"/>
          <w:color w:val="000000"/>
          <w:sz w:val="22"/>
        </w:rPr>
        <w:t>Ensure that participants and officials behave in a professional manner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w:t>
      </w:r>
      <w:r>
        <w:rPr>
          <w:rFonts w:ascii="Times New Roman" w:hAnsi="Times New Roman"/>
          <w:b w:val="false"/>
          <w:i w:val="false"/>
          <w:color w:val="000000"/>
          <w:sz w:val="22"/>
        </w:rPr>
        <w:t> </w:t>
      </w:r>
      <w:r>
        <w:rPr>
          <w:rFonts w:ascii="Times New Roman" w:hAnsi="Times New Roman"/>
          <w:b w:val="false"/>
          <w:i w:val="false"/>
          <w:color w:val="000000"/>
          <w:sz w:val="22"/>
        </w:rPr>
        <w:t>Ensure that participants and officials refrain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Fighting with anyone other than a scheduled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Fighting outside the 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Throwing objects;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Making obscene gestures.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250.6(21)</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through </w:t>
      </w:r>
      <w:hyperlink r:id="rId14">
        <w:r>
          <w:rPr>
            <w:rStyle w:val="Hyperlink"/>
            <w:rFonts w:ascii="Times New Roman" w:hAnsi="Times New Roman"/>
            <w:b w:val="false"/>
            <w:i w:val="false"/>
            <w:color w:val="000000"/>
            <w:sz w:val="22"/>
            <w:u w:val="single"/>
          </w:rPr>
          <w:t>mixedmartialarts.com</w:t>
        </w:r>
      </w:hyperlink>
      <w:r>
        <w:rPr>
          <w:rFonts w:ascii="Times New Roman" w:hAnsi="Times New Roman"/>
          <w:b w:val="false"/>
          <w:i w:val="false"/>
          <w:color w:val="000000"/>
          <w:sz w:val="22"/>
        </w:rPr>
        <w:t xml:space="preserve"> that no contestant on an amateur card has participated in a reported professional mixed martial arts match.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481—250.7</w:t>
      </w:r>
      <w:r>
        <w:rPr>
          <w:rFonts w:ascii="Times New Roman" w:hAnsi="Times New Roman"/>
          <w:b/>
          <w:i w:val="false"/>
          <w:color w:val="000000"/>
          <w:sz w:val="22"/>
        </w:rPr>
        <w:t xml:space="preserve">(90A) </w:t>
      </w:r>
      <w:r>
        <w:rPr>
          <w:rFonts w:ascii="Times New Roman" w:hAnsi="Times New Roman"/>
          <w:b/>
          <w:i w:val="false"/>
          <w:color w:val="000000"/>
          <w:sz w:val="22"/>
        </w:rPr>
        <w:t xml:space="preserve">Taxes. </w:t>
      </w:r>
      <w:r>
        <w:rPr>
          <w:rFonts w:ascii="Times New Roman" w:hAnsi="Times New Roman"/>
          <w:b w:val="false"/>
          <w:i w:val="false"/>
          <w:color w:val="000000"/>
          <w:sz w:val="22"/>
        </w:rPr>
        <w:t>No later than 20 days after an event, a promoter shall file with the commissioner a report and pay all taxes due from the event. The report is submitted on the form provided by the commissioner and includes the promoter’s business name, name of a contact for the promoter, date of the event, event license number, location of the event, each price for which tickets were offered or sold, number of tickets sold at each price, total gate receipts, and signatures of the licensee and the person who completed the report. The promoter shall submit with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w:t>
      </w:r>
      <w:r>
        <w:rPr>
          <w:rFonts w:ascii="Times New Roman" w:hAnsi="Times New Roman"/>
          <w:b w:val="false"/>
          <w:i w:val="false"/>
          <w:color w:val="000000"/>
          <w:sz w:val="22"/>
        </w:rPr>
        <w:t> </w:t>
      </w:r>
      <w:r>
        <w:rPr>
          <w:rFonts w:ascii="Times New Roman" w:hAnsi="Times New Roman"/>
          <w:b w:val="false"/>
          <w:i w:val="false"/>
          <w:color w:val="000000"/>
          <w:sz w:val="22"/>
        </w:rPr>
        <w:t>Proof of the number of tickets sold and the price of each ticket, which includes appropriate documentation from a ticketing service,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250.7(2)</w:t>
      </w:r>
      <w:r>
        <w:rPr>
          <w:rFonts w:ascii="Times New Roman" w:hAnsi="Times New Roman"/>
          <w:b w:val="false"/>
          <w:i w:val="false"/>
          <w:color w:val="000000"/>
          <w:sz w:val="22"/>
        </w:rPr>
        <w:t> </w:t>
      </w:r>
      <w:r>
        <w:rPr>
          <w:rFonts w:ascii="Times New Roman" w:hAnsi="Times New Roman"/>
          <w:b w:val="false"/>
          <w:i w:val="false"/>
          <w:color w:val="000000"/>
          <w:sz w:val="22"/>
        </w:rPr>
        <w:t>Payment to the Iowa department of inspections, appeals, and licensing for the amount calculated using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5">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1240C</w:t>
      </w:r>
      <w:r>
        <w:rPr>
          <w:rFonts w:ascii="Times New Roman" w:hAnsi="Times New Roman"/>
          <w:b w:val="false"/>
          <w:i w:val="false"/>
          <w:color w:val="000000"/>
          <w:sz w:val="21"/>
        </w:rPr>
        <w:t xml:space="preserve"> (Notice ARC 1107C,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8835C</w:t>
      </w:r>
      <w:r>
        <w:rPr>
          <w:rFonts w:ascii="Times New Roman" w:hAnsi="Times New Roman"/>
          <w:b w:val="false"/>
          <w:i w:val="false"/>
          <w:color w:val="000000"/>
          <w:sz w:val="21"/>
        </w:rPr>
        <w:t xml:space="preserve"> (Notice ARC 8377C,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11/26/25]</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A.pdf" Type="http://schemas.openxmlformats.org/officeDocument/2006/relationships/hyperlink" Id="rId5"/>
    <Relationship TargetMode="External" Target="https://www.legis.iowa.gov/docs/iac/chapter/481.250.pdf" Type="http://schemas.openxmlformats.org/officeDocument/2006/relationships/hyperlink" Id="rId6"/>
    <Relationship TargetMode="External" Target="https://www.legis.iowa.gov/docs/iac/chapter/481.260.pdf" Type="http://schemas.openxmlformats.org/officeDocument/2006/relationships/hyperlink" Id="rId7"/>
    <Relationship TargetMode="External" Target="https://www.legis.iowa.gov/docs/iac/rule/481.250.5.pdf" Type="http://schemas.openxmlformats.org/officeDocument/2006/relationships/hyperlink" Id="rId8"/>
    <Relationship TargetMode="External" Target="https://www.legis.iowa.gov/docs/ico/chapter/90A.pdf" Type="http://schemas.openxmlformats.org/officeDocument/2006/relationships/hyperlink" Id="rId9"/>
    <Relationship TargetMode="External" Target="https://www.legis.iowa.gov/docs/ico/chapter/90A.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ac/rule/481.250.6.pdf" Type="http://schemas.openxmlformats.org/officeDocument/2006/relationships/hyperlink" Id="rId12"/>
    <Relationship TargetMode="External" Target="https://www.legis.iowa.gov/docs/ico/chapter/90A.pdf" Type="http://schemas.openxmlformats.org/officeDocument/2006/relationships/hyperlink" Id="rId13"/>
    <Relationship TargetMode="External" Target="http://mixedmartialarts.com" Type="http://schemas.openxmlformats.org/officeDocument/2006/relationships/hyperlink" Id="rId14"/>
    <Relationship TargetMode="External" Target="https://www.legis.iowa.gov/docs/ico/chapter/90A.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