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169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LOCAL SYSTEMS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ALLOCATION OF FARM-TO-MARKET ROAD FUNDS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Department[820]—(06,Q) Ch 16]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8243C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10/2/24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11/6/24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AVAILABILITY OF INSTRUCTIONAL MEMORANDUMS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TO LOCAL PUBLIC AGENCIES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Department[820]—(06,Q) Ch 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8243C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10/2/24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11/6/24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PREPARATION OF SECONDARY ROAD CONSTRUCTION PROGRAMS,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BUDGETS, AND COUNTY ANNUAL REPORTS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Department[820]—(06,Q) Ch 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8243C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10/2/24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11/6/24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REIMBURSABLE SERVICES AND SUPPLIES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Department[820]—(06,Q) Ch 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8243C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10/2/24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11/6/24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175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177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