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AGRICULTURAL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214,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EXEMPTIONS PRIMARILY BENEFITING MANUFACTURERS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OTHER PERSONS ENGAGED IN PROCESSING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215,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EXEMPTIONS PRIMARILY OF BENEFIT TO CONSUMERS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220,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REBATE OF IOWA SALES TAX PAID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275,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REINVESTMENT DISTRICTS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273,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FLOOD MITIGATION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LOCAL OPTION SALES TAX URBAN RENEWAL PROJECTS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NECESSARY TO IMPLEMENT THE STREAMLINED SALES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USE TAX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204,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EXCISE TAXES NOT GOVERNED BY THE STREAMLINED SALES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USE TAX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FACILITATING BUSINESS RAPID RESPONSE TO STATE-DECLARED DISASTERS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276,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