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14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IOWA PHYSICIAN HEALTH COMMITTEE—IOWA PHYSICIAN HEALTH PROGRAM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15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CHILD SUPPORT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9110C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4/16/25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5/21/25</w:t>
      </w:r>
    </w:p>
    <w:p>
      <w:pPr>
        <w:pBdr>
          <w:top w:space="10"/>
        </w:pBd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 xml:space="preserve">CHAPTER </w:t>
      </w:r>
      <w:r>
        <w:rPr>
          <w:rFonts w:ascii="Times New Roman" w:hAnsi="Times New Roman"/>
          <w:b w:val="false"/>
          <w:i w:val="false"/>
          <w:color w:val="000000"/>
          <w:sz w:val="21"/>
        </w:rPr>
        <w:t>16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1"/>
        </w:rPr>
        <w:t>STUDENT LOAN DEFAULT OR NONCOMPLIANCE</w:t>
      </w:r>
    </w:p>
    <w:p>
      <w:pPr>
        <w:spacing w:before="0" w:after="0"/>
        <w:ind w:left="120"/>
        <w:jc w:val="center"/>
      </w:pP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Rescinded </w:t>
      </w:r>
      <w:r>
        <w:rPr>
          <w:rFonts w:ascii="Times New Roman" w:hAnsi="Times New Roman"/>
          <w:b/>
          <w:i w:val="false"/>
          <w:color w:val="000000"/>
          <w:sz w:val="22"/>
        </w:rPr>
        <w:t>ARC 4979C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,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IAB 3/11/20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, effective 4/15/20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