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11/21/75, Notices 7/14/75, 8/25/75—published 12/15/75, effective 1/19/76]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4/23/81, Notice 2/18/81—published 5/13/81, effective 6/17/81]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6/3/83—published 6/22/83, effective 7/1/83]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5/26/88, Notice 3/9/88—published 6/15/88, effective 7/20/88]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7/23/99, Notice 5/19/99—published 8/11/99, effective 9/15/99]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5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