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211</w:t>
      </w:r>
    </w:p>
    <w:p>
      <w:pPr>
        <w:spacing w:before="0" w:after="0"/>
        <w:ind w:left="120"/>
        <w:jc w:val="center"/>
      </w:pPr>
      <w:r>
        <w:rPr>
          <w:rFonts w:ascii="Times New Roman" w:hAnsi="Times New Roman"/>
          <w:b w:val="false"/>
          <w:i w:val="false"/>
          <w:color w:val="000000"/>
          <w:sz w:val="21"/>
        </w:rPr>
        <w:t>FINANCIAL ASSISTANCE FOR THE MANAGEMENT OF HOUSEHOLD HAZARDOUS MATERIALS AND HAZARDOUS WASTE FROM VERY SMALL QUANTITY GENERATORS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567—211.1</w:t>
      </w:r>
      <w:r>
        <w:rPr>
          <w:rFonts w:ascii="Times New Roman" w:hAnsi="Times New Roman"/>
          <w:b/>
          <w:i w:val="false"/>
          <w:color w:val="000000"/>
          <w:sz w:val="22"/>
        </w:rPr>
        <w:t xml:space="preserve">(455E,455F)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program is to reduce the amount of hazardous materials disposed of in Iowa’s sanitary landfills, thereby protecting groundwater resources, the health and safety of Iowa citizens, and the environment.</w:t>
      </w:r>
    </w:p>
    <w:p>
      <w:pPr>
        <w:spacing w:before="0" w:after="0"/>
        <w:ind w:left="120"/>
        <w:jc w:val="both"/>
      </w:pPr>
      <w:r>
        <w:rPr>
          <w:rFonts w:ascii="Times New Roman" w:hAnsi="Times New Roman"/>
          <w:b w:val="false"/>
          <w:i w:val="false"/>
          <w:color w:val="000000"/>
          <w:sz w:val="22"/>
        </w:rPr>
        <w:t>The costs and accessibility of hazardous materials management can be improved by the establishment and maintenance of a system of regional collection centers (RCCs) and satellite facilities for the safe and proper management of household hazardous materials and hazardous materials from very small quantity generators (VSQGs). Therefore, the department may provide financial assistance for costs associated with establishing or improving RCCs and satellite facilities, when such funding is available. The department may also provide financial assistance for ongoing collection and disposal activities which result in eligible pounds, when such funding is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567—211.2</w:t>
      </w:r>
      <w:r>
        <w:rPr>
          <w:rFonts w:ascii="Times New Roman" w:hAnsi="Times New Roman"/>
          <w:b/>
          <w:i w:val="false"/>
          <w:color w:val="000000"/>
          <w:sz w:val="22"/>
        </w:rPr>
        <w:t xml:space="preserve">(455E,455F)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these terms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for RCC or satellite facility financial assistance” </w:t>
      </w:r>
      <w:r>
        <w:rPr>
          <w:rFonts w:ascii="Times New Roman" w:hAnsi="Times New Roman"/>
          <w:b w:val="false"/>
          <w:i w:val="false"/>
          <w:color w:val="000000"/>
          <w:sz w:val="22"/>
        </w:rPr>
        <w:t xml:space="preserve">means an RCC or satellite facility operated by a private agency, a local government or a public agency representing local governments pursuant to Iowa Code chapter </w:t>
      </w:r>
      <w:hyperlink r:id="rId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pounds” </w:t>
      </w:r>
      <w:r>
        <w:rPr>
          <w:rFonts w:ascii="Times New Roman" w:hAnsi="Times New Roman"/>
          <w:b w:val="false"/>
          <w:i w:val="false"/>
          <w:color w:val="000000"/>
          <w:sz w:val="22"/>
        </w:rPr>
        <w:t xml:space="preserve">means household hazardous waste or hazardous waste from VSQGs which is disposed of or recycled by a licensed hazardous waste contractor. VSQG hazardous waste for which an RCC is required to charge a fee under Iowa Code section </w:t>
      </w:r>
      <w:hyperlink r:id="rId6">
        <w:r>
          <w:rPr>
            <w:rStyle w:val="Hyperlink"/>
            <w:rFonts w:ascii="Times New Roman" w:hAnsi="Times New Roman"/>
            <w:b w:val="false"/>
            <w:i w:val="false"/>
            <w:color w:val="000000"/>
            <w:sz w:val="22"/>
          </w:rPr>
          <w:t>455F.8A</w:t>
        </w:r>
      </w:hyperlink>
      <w:r>
        <w:rPr>
          <w:rFonts w:ascii="Times New Roman" w:hAnsi="Times New Roman"/>
          <w:b w:val="false"/>
          <w:i w:val="false"/>
          <w:color w:val="000000"/>
          <w:sz w:val="22"/>
        </w:rPr>
        <w:t xml:space="preserve"> is considered eligible pounds if there is a corresponding disposal charge from a hazardous waste contractor. “Eligible pounds” means net weight as shown on the final disposition documents. A manifest shows an estimated weight and cannot be used to determine eligible pounds. VSQG hazardous waste or household hazardous waste which has no disposal cost, or for which RCCs receive compensation or charge a fee, is not eligible pounds. Materials such as cathode ray tubes, electronics, and used oil which are not destined for final disposal, but are instead recycled for reuse of components, are not eligible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monetary assistance including grants, cash payments, or support by other financial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waste”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“HW”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waste contractor” </w:t>
      </w:r>
      <w:r>
        <w:rPr>
          <w:rFonts w:ascii="Times New Roman" w:hAnsi="Times New Roman"/>
          <w:b w:val="false"/>
          <w:i w:val="false"/>
          <w:color w:val="000000"/>
          <w:sz w:val="22"/>
        </w:rPr>
        <w:t>means a private company that provides management (e.g., recycling, disposal) of household hazardous waste or VSQG hazardous waste in compliance with federal regulations. “Hazardous waste contractor” does not include regional collection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hazardous materials”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“HHM”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455F.1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hazardous waste”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“HHW” </w:t>
      </w:r>
      <w:r>
        <w:rPr>
          <w:rFonts w:ascii="Times New Roman" w:hAnsi="Times New Roman"/>
          <w:b w:val="false"/>
          <w:i w:val="false"/>
          <w:color w:val="000000"/>
          <w:sz w:val="22"/>
        </w:rPr>
        <w:t xml:space="preserve">means an HHM as defined in Iowa Code section </w:t>
      </w:r>
      <w:hyperlink r:id="rId9">
        <w:r>
          <w:rPr>
            <w:rStyle w:val="Hyperlink"/>
            <w:rFonts w:ascii="Times New Roman" w:hAnsi="Times New Roman"/>
            <w:b w:val="false"/>
            <w:i w:val="false"/>
            <w:color w:val="000000"/>
            <w:sz w:val="22"/>
          </w:rPr>
          <w:t>455F.1</w:t>
        </w:r>
      </w:hyperlink>
      <w:r>
        <w:rPr>
          <w:rFonts w:ascii="Times New Roman" w:hAnsi="Times New Roman"/>
          <w:b w:val="false"/>
          <w:i w:val="false"/>
          <w:color w:val="000000"/>
          <w:sz w:val="22"/>
        </w:rPr>
        <w:t xml:space="preserve"> which has served its intended use and is designated for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costs” </w:t>
      </w:r>
      <w:r>
        <w:rPr>
          <w:rFonts w:ascii="Times New Roman" w:hAnsi="Times New Roman"/>
          <w:b w:val="false"/>
          <w:i w:val="false"/>
          <w:color w:val="000000"/>
          <w:sz w:val="22"/>
        </w:rPr>
        <w:t>means costs that are not identifiable with a specific product, function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“Overhead costs” </w:t>
      </w:r>
      <w:r>
        <w:rPr>
          <w:rFonts w:ascii="Times New Roman" w:hAnsi="Times New Roman"/>
          <w:b w:val="false"/>
          <w:i w:val="false"/>
          <w:color w:val="000000"/>
          <w:sz w:val="22"/>
        </w:rPr>
        <w:t>means expenses not chargeable to a particular part of the work or product including, but not limited to, utilities and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“RCC mobile unit” </w:t>
      </w:r>
      <w:r>
        <w:rPr>
          <w:rFonts w:ascii="Times New Roman" w:hAnsi="Times New Roman"/>
          <w:b w:val="false"/>
          <w:i w:val="false"/>
          <w:color w:val="000000"/>
          <w:sz w:val="22"/>
        </w:rPr>
        <w:t>means a truck or trailer owned and operated under the direction of a regional collection center that can be moved to different sites within a region. A mobile unit is used to perform collection events and to transport collected materials to the RCC for sorting and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collection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“RCC”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455F.1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“Satellite facility”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455F.1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“Very small quantity generator”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“VSQG” </w:t>
      </w:r>
      <w:r>
        <w:rPr>
          <w:rFonts w:ascii="Times New Roman" w:hAnsi="Times New Roman"/>
          <w:b w:val="false"/>
          <w:i w:val="false"/>
          <w:color w:val="000000"/>
          <w:sz w:val="22"/>
        </w:rPr>
        <w:t>means a generator that generates less than or equal to the following amounts in a calendar month: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100 kilograms (220 lbs) of non-acute hazardous waste;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1 kilogram (2.2 lbs) of acute hazardous waste listed in 40 CFR 261.31 or 40 CFR 261.33(e);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100 kilograms (220 lbs) of any residue or contaminated soil, water or other debris resulting from the cleanup of a spill, into or on any land or water, of any acute hazardous waste listed in 40 CFR 261.31 or 40 CFR 261.33(e).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8518B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567—211.3</w:t>
      </w:r>
      <w:r>
        <w:rPr>
          <w:rFonts w:ascii="Times New Roman" w:hAnsi="Times New Roman"/>
          <w:b/>
          <w:i w:val="false"/>
          <w:color w:val="000000"/>
          <w:sz w:val="22"/>
        </w:rPr>
        <w:t xml:space="preserve">(455E,455F) </w:t>
      </w:r>
      <w:r>
        <w:rPr>
          <w:rFonts w:ascii="Times New Roman" w:hAnsi="Times New Roman"/>
          <w:b/>
          <w:i w:val="false"/>
          <w:color w:val="000000"/>
          <w:sz w:val="22"/>
        </w:rPr>
        <w:t xml:space="preserve">Role of the department. </w:t>
      </w:r>
      <w:r>
        <w:rPr>
          <w:rFonts w:ascii="Times New Roman" w:hAnsi="Times New Roman"/>
          <w:b w:val="false"/>
          <w:i w:val="false"/>
          <w:color w:val="000000"/>
          <w:sz w:val="22"/>
        </w:rPr>
        <w:t xml:space="preserve">The department is responsible for the administration of financial assistance sponsored under this chapter. The department shall ensure that funds disbursed meet guidelines established in Iowa Code chapters </w:t>
      </w:r>
      <w:hyperlink r:id="rId12">
        <w:r>
          <w:rPr>
            <w:rStyle w:val="Hyperlink"/>
            <w:rFonts w:ascii="Times New Roman" w:hAnsi="Times New Roman"/>
            <w:b w:val="false"/>
            <w:i w:val="false"/>
            <w:color w:val="000000"/>
            <w:sz w:val="22"/>
          </w:rPr>
          <w:t>455E</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455F</w:t>
        </w:r>
      </w:hyperlink>
      <w:r>
        <w:rPr>
          <w:rFonts w:ascii="Times New Roman" w:hAnsi="Times New Roman"/>
          <w:b w:val="false"/>
          <w:i w:val="false"/>
          <w:color w:val="000000"/>
          <w:sz w:val="22"/>
        </w:rPr>
        <w:t>. An applicant for financial assistance under this chapter may submit any eligible project as defined in the application provided by the department. The department shall determine which projects, if any, will receive funding after review of all applications, subject to available funding.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567—211.4</w:t>
      </w:r>
      <w:r>
        <w:rPr>
          <w:rFonts w:ascii="Times New Roman" w:hAnsi="Times New Roman"/>
          <w:b/>
          <w:i w:val="false"/>
          <w:color w:val="000000"/>
          <w:sz w:val="22"/>
        </w:rPr>
        <w:t xml:space="preserve">(455E,455F) </w:t>
      </w:r>
      <w:r>
        <w:rPr>
          <w:rFonts w:ascii="Times New Roman" w:hAnsi="Times New Roman"/>
          <w:b/>
          <w:i w:val="false"/>
          <w:color w:val="000000"/>
          <w:sz w:val="22"/>
        </w:rPr>
        <w:t xml:space="preserve">Funding sources. </w:t>
      </w:r>
      <w:r>
        <w:rPr>
          <w:rFonts w:ascii="Times New Roman" w:hAnsi="Times New Roman"/>
          <w:b w:val="false"/>
          <w:i w:val="false"/>
          <w:color w:val="000000"/>
          <w:sz w:val="22"/>
        </w:rPr>
        <w:t xml:space="preserve">The department will use funds appropriated by Iowa Code sections </w:t>
      </w:r>
      <w:hyperlink r:id="rId14">
        <w:r>
          <w:rPr>
            <w:rStyle w:val="Hyperlink"/>
            <w:rFonts w:ascii="Times New Roman" w:hAnsi="Times New Roman"/>
            <w:b w:val="false"/>
            <w:i w:val="false"/>
            <w:color w:val="000000"/>
            <w:sz w:val="22"/>
          </w:rPr>
          <w:t>455E.11(2)</w:t>
        </w:r>
      </w:hyperlink>
      <w:r>
        <w:rPr>
          <w:rFonts w:ascii="Times New Roman" w:hAnsi="Times New Roman"/>
          <w:b w:val="false"/>
          <w:i/>
          <w:color w:val="000000"/>
          <w:sz w:val="22"/>
        </w:rPr>
        <w:t>“a”</w:t>
      </w:r>
      <w:r>
        <w:rPr>
          <w:rFonts w:ascii="Times New Roman" w:hAnsi="Times New Roman"/>
          <w:b w:val="false"/>
          <w:i w:val="false"/>
          <w:color w:val="000000"/>
          <w:sz w:val="22"/>
        </w:rPr>
        <w:t xml:space="preserve">(2)(d) and </w:t>
      </w:r>
      <w:hyperlink r:id="rId15">
        <w:r>
          <w:rPr>
            <w:rStyle w:val="Hyperlink"/>
            <w:rFonts w:ascii="Times New Roman" w:hAnsi="Times New Roman"/>
            <w:b w:val="false"/>
            <w:i w:val="false"/>
            <w:color w:val="000000"/>
            <w:sz w:val="22"/>
          </w:rPr>
          <w:t>455E.11(2)</w:t>
        </w:r>
      </w:hyperlink>
      <w:r>
        <w:rPr>
          <w:rFonts w:ascii="Times New Roman" w:hAnsi="Times New Roman"/>
          <w:b w:val="false"/>
          <w:i/>
          <w:color w:val="000000"/>
          <w:sz w:val="22"/>
        </w:rPr>
        <w:t>“c”</w:t>
      </w:r>
      <w:r>
        <w:rPr>
          <w:rFonts w:ascii="Times New Roman" w:hAnsi="Times New Roman"/>
          <w:b w:val="false"/>
          <w:i w:val="false"/>
          <w:color w:val="000000"/>
          <w:sz w:val="22"/>
        </w:rPr>
        <w:t xml:space="preserve"> to achieve the purpose of this chapter. The department shall ensure that moneys appropriated meet both federal and state guidelines pertaining to the use of the moneys.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567—211.5</w:t>
      </w:r>
      <w:r>
        <w:rPr>
          <w:rFonts w:ascii="Times New Roman" w:hAnsi="Times New Roman"/>
          <w:b/>
          <w:i w:val="false"/>
          <w:color w:val="000000"/>
          <w:sz w:val="22"/>
        </w:rPr>
        <w:t xml:space="preserve">(455E,455F) </w:t>
      </w:r>
      <w:r>
        <w:rPr>
          <w:rFonts w:ascii="Times New Roman" w:hAnsi="Times New Roman"/>
          <w:b/>
          <w:i w:val="false"/>
          <w:color w:val="000000"/>
          <w:sz w:val="22"/>
        </w:rPr>
        <w:t xml:space="preserve">Eligible costs. </w:t>
      </w:r>
      <w:r>
        <w:rPr>
          <w:rFonts w:ascii="Times New Roman" w:hAnsi="Times New Roman"/>
          <w:b w:val="false"/>
          <w:i w:val="false"/>
          <w:color w:val="000000"/>
          <w:sz w:val="22"/>
        </w:rPr>
        <w:t>Applicants may request financial assistance for eligible expenses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val="false"/>
          <w:color w:val="000000"/>
          <w:sz w:val="22"/>
        </w:rPr>
        <w:t>Materials and labor for construction and the purchase cost of structures or RCC mobile units to be used in the operation of an RCC or satellite facility, including but not limited to site excavation for the structure and modifications to control runoff.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val="false"/>
          <w:color w:val="000000"/>
          <w:sz w:val="22"/>
        </w:rPr>
        <w:t>Education programs for households and VSQGs within the RCC service area. Eligible education expenses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education and awareness materials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Fees for public service announcements.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val="false"/>
          <w:color w:val="000000"/>
          <w:sz w:val="22"/>
        </w:rPr>
        <w:t>Equipment relating directly to the RCC or satellite facility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8518B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567—211.6</w:t>
      </w:r>
      <w:r>
        <w:rPr>
          <w:rFonts w:ascii="Times New Roman" w:hAnsi="Times New Roman"/>
          <w:b/>
          <w:i w:val="false"/>
          <w:color w:val="000000"/>
          <w:sz w:val="22"/>
        </w:rPr>
        <w:t xml:space="preserve">(455E,455F) </w:t>
      </w:r>
      <w:r>
        <w:rPr>
          <w:rFonts w:ascii="Times New Roman" w:hAnsi="Times New Roman"/>
          <w:b/>
          <w:i w:val="false"/>
          <w:color w:val="000000"/>
          <w:sz w:val="22"/>
        </w:rPr>
        <w:t xml:space="preserve">Ineligible costs. </w:t>
      </w:r>
      <w:r>
        <w:rPr>
          <w:rFonts w:ascii="Times New Roman" w:hAnsi="Times New Roman"/>
          <w:b w:val="false"/>
          <w:i w:val="false"/>
          <w:color w:val="000000"/>
          <w:sz w:val="22"/>
        </w:rPr>
        <w:t>Applicants for RCC financial assistance cannot request monetary assistance for the following costs: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Taxes.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Vehicle registration.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Indirect or overhead costs.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Legal costs.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Contingency funds.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Land acquisition.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Disposal of hazardous materials.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Office equipment.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Staffing costs.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Site and building design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8518B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567—211.7</w:t>
      </w:r>
      <w:r>
        <w:rPr>
          <w:rFonts w:ascii="Times New Roman" w:hAnsi="Times New Roman"/>
          <w:b/>
          <w:i w:val="false"/>
          <w:color w:val="000000"/>
          <w:sz w:val="22"/>
        </w:rPr>
        <w:t xml:space="preserve">(455E,455F) </w:t>
      </w:r>
      <w:r>
        <w:rPr>
          <w:rFonts w:ascii="Times New Roman" w:hAnsi="Times New Roman"/>
          <w:b/>
          <w:i w:val="false"/>
          <w:color w:val="000000"/>
          <w:sz w:val="22"/>
        </w:rPr>
        <w:t xml:space="preserve">RCC and satellite facility financial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RCC and satellite financial assistance shall submit to the department a completed application on a form provided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coordinate the evaluation of proposals. Applications will be evaluated based on selection criteria contained in the application form. Prior to receiving financial assistance from the department, an RCC must obtain a regional collection center license. A satellite facility shall provide documentation of a contractual arrangement with a licensed RCC for removal of the waste to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211.7(3)</w:t>
      </w:r>
      <w:r>
        <w:rPr>
          <w:rFonts w:ascii="Times New Roman" w:hAnsi="Times New Roman"/>
          <w:b w:val="false"/>
          <w:i w:val="false"/>
          <w:color w:val="000000"/>
          <w:sz w:val="22"/>
        </w:rPr>
        <w:t> </w:t>
      </w:r>
      <w:r>
        <w:rPr>
          <w:rFonts w:ascii="Times New Roman" w:hAnsi="Times New Roman"/>
          <w:b w:val="false"/>
          <w:i w:val="false"/>
          <w:color w:val="000000"/>
          <w:sz w:val="22"/>
        </w:rPr>
        <w:t>The applicant must be in compliance with applicable federal and state statutes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8518B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567—211.8</w:t>
      </w:r>
      <w:r>
        <w:rPr>
          <w:rFonts w:ascii="Times New Roman" w:hAnsi="Times New Roman"/>
          <w:b/>
          <w:i w:val="false"/>
          <w:color w:val="000000"/>
          <w:sz w:val="22"/>
        </w:rPr>
        <w:t xml:space="preserve">(455E,455F) </w:t>
      </w:r>
      <w:r>
        <w:rPr>
          <w:rFonts w:ascii="Times New Roman" w:hAnsi="Times New Roman"/>
          <w:b/>
          <w:i w:val="false"/>
          <w:color w:val="000000"/>
          <w:sz w:val="22"/>
        </w:rPr>
        <w:t xml:space="preserve">Grant denial. </w:t>
      </w:r>
      <w:r>
        <w:rPr>
          <w:rFonts w:ascii="Times New Roman" w:hAnsi="Times New Roman"/>
          <w:b w:val="false"/>
          <w:i w:val="false"/>
          <w:color w:val="000000"/>
          <w:sz w:val="22"/>
        </w:rPr>
        <w:t>An application may be denied for the following reasons,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applicant does not meet eligibility requirements pursuant to the provisions of this chapter.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does not provide sufficient information requested in the application proposal pursuant to this chapter.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project goals or scope is not consistent with this chapter.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Funds are insufficient to award financial assistance to all qualified applicants.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applicant has not met contractual obligations of previous grant awards.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department received the application after the deadline stated in the application and guidelines.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applicant is found to be out of compliance with applicable federal or state statutes or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567—211.9</w:t>
      </w:r>
      <w:r>
        <w:rPr>
          <w:rFonts w:ascii="Times New Roman" w:hAnsi="Times New Roman"/>
          <w:b/>
          <w:i w:val="false"/>
          <w:color w:val="000000"/>
          <w:sz w:val="22"/>
        </w:rPr>
        <w:t xml:space="preserve">(455E,455F) </w:t>
      </w:r>
      <w:r>
        <w:rPr>
          <w:rFonts w:ascii="Times New Roman" w:hAnsi="Times New Roman"/>
          <w:b/>
          <w:i w:val="false"/>
          <w:color w:val="000000"/>
          <w:sz w:val="22"/>
        </w:rPr>
        <w:t xml:space="preserve">RCC collection and disposal support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211.9(1)</w:t>
      </w:r>
      <w:r>
        <w:rPr>
          <w:rFonts w:ascii="Times New Roman" w:hAnsi="Times New Roman"/>
          <w:b w:val="false"/>
          <w:i w:val="false"/>
          <w:color w:val="000000"/>
          <w:sz w:val="22"/>
        </w:rPr>
        <w:t> </w:t>
      </w:r>
      <w:r>
        <w:rPr>
          <w:rFonts w:ascii="Times New Roman" w:hAnsi="Times New Roman"/>
          <w:b w:val="false"/>
          <w:i w:val="false"/>
          <w:color w:val="000000"/>
          <w:sz w:val="22"/>
        </w:rPr>
        <w:t xml:space="preserve">All RCCs are eligible to receive funding support, when available, from the department to properly manage eligible pounds of VSQG hazardous waste and household hazardous waste. To receive funding, an RCC must be in compliance with applicable federal and state statutes and regulations. The source for this funding is described in Iowa Code section </w:t>
      </w:r>
      <w:hyperlink r:id="rId16">
        <w:r>
          <w:rPr>
            <w:rStyle w:val="Hyperlink"/>
            <w:rFonts w:ascii="Times New Roman" w:hAnsi="Times New Roman"/>
            <w:b w:val="false"/>
            <w:i w:val="false"/>
            <w:color w:val="000000"/>
            <w:sz w:val="22"/>
          </w:rPr>
          <w:t>455E.11(2)</w:t>
        </w:r>
      </w:hyperlink>
      <w:r>
        <w:rPr>
          <w:rFonts w:ascii="Times New Roman" w:hAnsi="Times New Roman"/>
          <w:b w:val="false"/>
          <w:i/>
          <w:color w:val="000000"/>
          <w:sz w:val="22"/>
        </w:rPr>
        <w:t>“a”</w:t>
      </w:r>
      <w:r>
        <w:rPr>
          <w:rFonts w:ascii="Times New Roman" w:hAnsi="Times New Roman"/>
          <w:b w:val="false"/>
          <w:i w:val="false"/>
          <w:color w:val="000000"/>
          <w:sz w:val="22"/>
        </w:rPr>
        <w:t>(2)(d) and (e).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211.9(2)</w:t>
      </w:r>
      <w:r>
        <w:rPr>
          <w:rFonts w:ascii="Times New Roman" w:hAnsi="Times New Roman"/>
          <w:b w:val="false"/>
          <w:i w:val="false"/>
          <w:color w:val="000000"/>
          <w:sz w:val="22"/>
        </w:rPr>
        <w:t> </w:t>
      </w:r>
      <w:r>
        <w:rPr>
          <w:rFonts w:ascii="Times New Roman" w:hAnsi="Times New Roman"/>
          <w:b w:val="false"/>
          <w:i w:val="false"/>
          <w:color w:val="000000"/>
          <w:sz w:val="22"/>
        </w:rPr>
        <w:t>To be eligible to receive support and disposal-funding assistance, an RCC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household hazardous waste and VSQG hazardous waste removed by a licensed hazardous waste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Correctly complete the hazardous materials collection semiannual report on a form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Attach the following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Hazardous waste contractor invoices depicting cost and hazardous waste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net weight calculations of household hazardous waste and VSQG hazardous waste obtained by subtracting container weight from final disposal weight, not the manifest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all household hazardous waste and VSQG hazardous waste was disposed of by a licensed hazardous waste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materials shipped using final disposal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regional collection center semiannual reports by September 15 for the portion of the current calendar year January 1 through June 30, and by March 15 for the portion of the previous calendar year July 1 through December 31. Reports submitted after the due date without prior approval by the department are not eligible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211.9(3)</w:t>
      </w:r>
      <w:r>
        <w:rPr>
          <w:rFonts w:ascii="Times New Roman" w:hAnsi="Times New Roman"/>
          <w:b w:val="false"/>
          <w:i w:val="false"/>
          <w:color w:val="000000"/>
          <w:sz w:val="22"/>
        </w:rPr>
        <w:t> </w:t>
      </w:r>
      <w:r>
        <w:rPr>
          <w:rFonts w:ascii="Times New Roman" w:hAnsi="Times New Roman"/>
          <w:b w:val="false"/>
          <w:i w:val="false"/>
          <w:color w:val="000000"/>
          <w:sz w:val="22"/>
        </w:rPr>
        <w:t>Fall collection and disposal funding will be based on the regional collection center semiannual report due September 15 and on available funding. An RCC will receive a percentage of the available funding in an amount proportional to the amount of eligible pounds the RCC recycled or disposed of through a hazardous waste contractor, as reported on the regional collection center semiannual report form, compared to the total amount of eligible pounds recycled or disposed of by all RCCs as reported on the regional collection center semiannual report form.</w:t>
      </w:r>
    </w:p>
    <w:p>
      <w:pPr>
        <w:spacing w:before="0" w:after="0"/>
        <w:ind w:left="120"/>
        <w:jc w:val="both"/>
      </w:pPr>
      <w:r>
        <w:rPr>
          <w:rFonts w:ascii="Times New Roman" w:hAnsi="Times New Roman"/>
          <w:b w:val="false"/>
          <w:i w:val="false"/>
          <w:color w:val="000000"/>
          <w:sz w:val="22"/>
        </w:rPr>
        <w:t xml:space="preserve"> Spring collection and disposal funding will be based on the total eligible pounds reported for the calendar year and on available funding. An RCC will receive a percentage of the available funding for the calendar year minus the amount received for the fall payment, in an amount proportional to the amount of eligible pounds the RCC recycled or disposed of through a hazardous waste contractor, as reported on the regional collection center semiannual report form for the calendar year, compared to the total amount of eligible pounds recycled or disposed of by all RCCs as reported on the regional collection center semiannual report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8518B</w:t>
      </w:r>
      <w:r>
        <w:rPr>
          <w:rFonts w:ascii="Times New Roman" w:hAnsi="Times New Roman"/>
          <w:b w:val="false"/>
          <w:i w:val="false"/>
          <w:color w:val="000000"/>
          <w:sz w:val="16"/>
        </w:rPr>
        <w:t>, IAB 2/10/10, effective 3/17/10</w:t>
      </w:r>
      <w:r>
        <w:rPr>
          <w:rFonts w:ascii="Times New Roman" w:hAnsi="Times New Roman"/>
          <w:b w:val="false"/>
          <w:i w:val="false"/>
          <w:color w:val="000000"/>
          <w:sz w:val="16"/>
        </w:rPr>
        <w:t xml:space="preserve">; </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455F.8A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455F.8B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2/26/93, Notice 12/9/92—published 3/17/93, effective 4/21/93]</w:t>
      </w:r>
    </w:p>
    <w:p>
      <w:pPr>
        <w:spacing w:before="0" w:after="0"/>
        <w:ind w:left="120"/>
        <w:jc w:val="center"/>
      </w:pPr>
      <w:r>
        <w:rPr>
          <w:rFonts w:ascii="Times New Roman" w:hAnsi="Times New Roman"/>
          <w:b w:val="false"/>
          <w:i w:val="false"/>
          <w:color w:val="000000"/>
          <w:sz w:val="21"/>
        </w:rPr>
        <w:t>[Filed 10/22/93, Notice 8/18/93—published 11/10/93, effective 12/15/93]</w:t>
      </w:r>
    </w:p>
    <w:p>
      <w:pPr>
        <w:spacing w:before="0" w:after="0"/>
        <w:ind w:left="120"/>
        <w:jc w:val="center"/>
      </w:pPr>
      <w:r>
        <w:rPr>
          <w:rFonts w:ascii="Times New Roman" w:hAnsi="Times New Roman"/>
          <w:b w:val="false"/>
          <w:i w:val="false"/>
          <w:color w:val="000000"/>
          <w:sz w:val="21"/>
        </w:rPr>
        <w:t>[Filed 9/19/97, Notice 7/16/97—published 10/8/97, effective 11/12/97]</w:t>
      </w:r>
    </w:p>
    <w:p>
      <w:pPr>
        <w:spacing w:before="0" w:after="0"/>
        <w:ind w:left="120"/>
        <w:jc w:val="center"/>
      </w:pPr>
      <w:r>
        <w:rPr>
          <w:rFonts w:ascii="Times New Roman" w:hAnsi="Times New Roman"/>
          <w:b w:val="false"/>
          <w:i w:val="false"/>
          <w:color w:val="000000"/>
          <w:sz w:val="21"/>
        </w:rPr>
        <w:t>[Filed emergency 3/30/01—published 4/18/01, effective 3/30/01]</w:t>
      </w:r>
    </w:p>
    <w:p>
      <w:pPr>
        <w:spacing w:before="0" w:after="0"/>
        <w:ind w:left="120"/>
        <w:jc w:val="center"/>
      </w:pPr>
      <w:r>
        <w:rPr>
          <w:rFonts w:ascii="Times New Roman" w:hAnsi="Times New Roman"/>
          <w:b w:val="false"/>
          <w:i w:val="false"/>
          <w:color w:val="000000"/>
          <w:sz w:val="21"/>
        </w:rPr>
        <w:t>[Filed 2/1/02, Notice 10/17/01—published 2/20/02, effective 3/27/02]</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ARC 8518B</w:t>
      </w:r>
      <w:r>
        <w:rPr>
          <w:rFonts w:ascii="Times New Roman" w:hAnsi="Times New Roman"/>
          <w:b w:val="false"/>
          <w:i w:val="false"/>
          <w:color w:val="000000"/>
          <w:sz w:val="21"/>
        </w:rPr>
        <w:t xml:space="preserve"> (Notice ARC 8313B, IAB 11/18/09)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3995C</w:t>
      </w:r>
      <w:r>
        <w:rPr>
          <w:rFonts w:ascii="Times New Roman" w:hAnsi="Times New Roman"/>
          <w:b w:val="false"/>
          <w:i w:val="false"/>
          <w:color w:val="000000"/>
          <w:sz w:val="21"/>
        </w:rPr>
        <w:t xml:space="preserve"> (Notice ARC 3826C, IAB 6/6/18)</w:t>
      </w:r>
      <w:r>
        <w:rPr>
          <w:rFonts w:ascii="Times New Roman" w:hAnsi="Times New Roman"/>
          <w:b w:val="false"/>
          <w:i w:val="false"/>
          <w:color w:val="000000"/>
          <w:sz w:val="21"/>
        </w:rPr>
        <w:t>, IAB 9/12/18, effective 10/17/18]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E.pdf" Type="http://schemas.openxmlformats.org/officeDocument/2006/relationships/hyperlink" Id="rId5"/>
    <Relationship TargetMode="External" Target="https://www.legis.iowa.gov/docs/ico/chapter/455F.8A.pdf" Type="http://schemas.openxmlformats.org/officeDocument/2006/relationships/hyperlink" Id="rId6"/>
    <Relationship TargetMode="External" Target="https://www.legis.iowa.gov/docs/ico/chapter/455B.411.pdf" Type="http://schemas.openxmlformats.org/officeDocument/2006/relationships/hyperlink" Id="rId7"/>
    <Relationship TargetMode="External" Target="https://www.legis.iowa.gov/docs/ico/chapter/455F.1.pdf" Type="http://schemas.openxmlformats.org/officeDocument/2006/relationships/hyperlink" Id="rId8"/>
    <Relationship TargetMode="External" Target="https://www.legis.iowa.gov/docs/ico/chapter/455F.1.pdf" Type="http://schemas.openxmlformats.org/officeDocument/2006/relationships/hyperlink" Id="rId9"/>
    <Relationship TargetMode="External" Target="https://www.legis.iowa.gov/docs/ico/chapter/455F.1.pdf" Type="http://schemas.openxmlformats.org/officeDocument/2006/relationships/hyperlink" Id="rId10"/>
    <Relationship TargetMode="External" Target="https://www.legis.iowa.gov/docs/ico/chapter/455F.1.pdf" Type="http://schemas.openxmlformats.org/officeDocument/2006/relationships/hyperlink" Id="rId11"/>
    <Relationship TargetMode="External" Target="https://www.legis.iowa.gov/docs/ico/chapter/455E.pdf" Type="http://schemas.openxmlformats.org/officeDocument/2006/relationships/hyperlink" Id="rId12"/>
    <Relationship TargetMode="External" Target="https://www.legis.iowa.gov/docs/ico/chapter/455F.pdf" Type="http://schemas.openxmlformats.org/officeDocument/2006/relationships/hyperlink" Id="rId13"/>
    <Relationship TargetMode="External" Target="https://www.legis.iowa.gov/docs/ico/chapter/455E.11.pdf" Type="http://schemas.openxmlformats.org/officeDocument/2006/relationships/hyperlink" Id="rId14"/>
    <Relationship TargetMode="External" Target="https://www.legis.iowa.gov/docs/ico/chapter/455E.11.pdf" Type="http://schemas.openxmlformats.org/officeDocument/2006/relationships/hyperlink" Id="rId15"/>
    <Relationship TargetMode="External" Target="https://www.legis.iowa.gov/docs/ico/chapter/455E.11.pdf" Type="http://schemas.openxmlformats.org/officeDocument/2006/relationships/hyperlink" Id="rId16"/>
    <Relationship TargetMode="External" Target="https://www.legis.iowa.gov/docs/ico/chapter/455F.8A.pdf" Type="http://schemas.openxmlformats.org/officeDocument/2006/relationships/hyperlink" Id="rId17"/>
    <Relationship TargetMode="External" Target="https://www.legis.iowa.gov/docs/ico/chapter/455F.8B.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