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209</w:t>
      </w:r>
    </w:p>
    <w:p>
      <w:pPr>
        <w:spacing w:before="0" w:after="0"/>
        <w:ind w:left="120"/>
        <w:jc w:val="center"/>
      </w:pPr>
      <w:r>
        <w:rPr>
          <w:rFonts w:ascii="Times New Roman" w:hAnsi="Times New Roman"/>
          <w:b w:val="false"/>
          <w:i w:val="false"/>
          <w:color w:val="000000"/>
          <w:sz w:val="21"/>
        </w:rPr>
        <w:t>LANDFILL ALTERNATIVES FINANCIAL ASSISTANCE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567—209.1</w:t>
      </w:r>
      <w:r>
        <w:rPr>
          <w:rFonts w:ascii="Times New Roman" w:hAnsi="Times New Roman"/>
          <w:b/>
          <w:i w:val="false"/>
          <w:color w:val="000000"/>
          <w:sz w:val="22"/>
        </w:rPr>
        <w:t xml:space="preserve">(455B,455E) </w:t>
      </w:r>
      <w:r>
        <w:rPr>
          <w:rFonts w:ascii="Times New Roman" w:hAnsi="Times New Roman"/>
          <w:b/>
          <w:i w:val="false"/>
          <w:color w:val="000000"/>
          <w:sz w:val="22"/>
        </w:rPr>
        <w:t xml:space="preserve">Goal. </w:t>
      </w:r>
      <w:r>
        <w:rPr>
          <w:rFonts w:ascii="Times New Roman" w:hAnsi="Times New Roman"/>
          <w:b w:val="false"/>
          <w:i w:val="false"/>
          <w:color w:val="000000"/>
          <w:sz w:val="22"/>
        </w:rPr>
        <w:t>The goal of landfill alternatives financial assistance programs is to reduce through implementation of solid waste management projects the amount of solid waste being generated and the amount of solid waste being landfilled.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567—209.2</w:t>
      </w:r>
      <w:r>
        <w:rPr>
          <w:rFonts w:ascii="Times New Roman" w:hAnsi="Times New Roman"/>
          <w:b/>
          <w:i w:val="false"/>
          <w:color w:val="000000"/>
          <w:sz w:val="22"/>
        </w:rPr>
        <w:t xml:space="preserve">(455B,455E)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programs is to provide financial assistance to applicants implementing projects and programs leading to the diversion of solid waste from sanitary landfills.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567—209.3</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w:t>
      </w:r>
      <w:r>
        <w:rPr>
          <w:rFonts w:ascii="Times New Roman" w:hAnsi="Times New Roman"/>
          <w:b w:val="false"/>
          <w:i w:val="false"/>
          <w:color w:val="000000"/>
          <w:sz w:val="22"/>
        </w:rPr>
        <w:t>means that the building has been unoccupied for a minimum of six continuous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“Asbestos-containing material”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“ACM” </w:t>
      </w:r>
      <w:r>
        <w:rPr>
          <w:rFonts w:ascii="Times New Roman" w:hAnsi="Times New Roman"/>
          <w:b w:val="false"/>
          <w:i w:val="false"/>
          <w:color w:val="000000"/>
          <w:sz w:val="22"/>
        </w:rPr>
        <w:t>means any material that contains more than 1 percent of asbestos.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renovation” </w:t>
      </w:r>
      <w:r>
        <w:rPr>
          <w:rFonts w:ascii="Times New Roman" w:hAnsi="Times New Roman"/>
          <w:b w:val="false"/>
          <w:i w:val="false"/>
          <w:color w:val="000000"/>
          <w:sz w:val="22"/>
        </w:rPr>
        <w:t>means repairs that stabilize or improve the structural integrity of the building, including but not limited to roof repair or replacement, building stabilization, and the tuck-pointing of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share” </w:t>
      </w:r>
      <w:r>
        <w:rPr>
          <w:rFonts w:ascii="Times New Roman" w:hAnsi="Times New Roman"/>
          <w:b w:val="false"/>
          <w:i w:val="false"/>
          <w:color w:val="000000"/>
          <w:sz w:val="22"/>
        </w:rPr>
        <w:t>means the applicant’s share of the eligible costs of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“Deconstruction” </w:t>
      </w:r>
      <w:r>
        <w:rPr>
          <w:rFonts w:ascii="Times New Roman" w:hAnsi="Times New Roman"/>
          <w:b w:val="false"/>
          <w:i w:val="false"/>
          <w:color w:val="000000"/>
          <w:sz w:val="22"/>
        </w:rPr>
        <w:t>means the selective dismantlement of a building for the purpose of maximizing reuse and recycling opportunities through source separation while minimizing disposal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“Demonstration project” </w:t>
      </w:r>
      <w:r>
        <w:rPr>
          <w:rFonts w:ascii="Times New Roman" w:hAnsi="Times New Roman"/>
          <w:b w:val="false"/>
          <w:i w:val="false"/>
          <w:color w:val="000000"/>
          <w:sz w:val="22"/>
        </w:rPr>
        <w:t>means a project that is innovative or new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“Derelict building grant eligibility” </w:t>
      </w:r>
      <w:r>
        <w:rPr>
          <w:rFonts w:ascii="Times New Roman" w:hAnsi="Times New Roman"/>
          <w:b w:val="false"/>
          <w:i w:val="false"/>
          <w:color w:val="000000"/>
          <w:sz w:val="22"/>
        </w:rPr>
        <w:t xml:space="preserve">means any county or municipal government with a population of 5,000 or fewer is eligible to apply for a derelict building grant. An applicant may partner with a local nonprofit organization on a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means costs directly related to the project and for which financial assistance moneys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monetary assistance in the form of grants, loans, or forgivable loans that is awarded under these rules to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“Forgivable loan” </w:t>
      </w:r>
      <w:r>
        <w:rPr>
          <w:rFonts w:ascii="Times New Roman" w:hAnsi="Times New Roman"/>
          <w:b w:val="false"/>
          <w:i w:val="false"/>
          <w:color w:val="000000"/>
          <w:sz w:val="22"/>
        </w:rPr>
        <w:t>means financial assistance that does not require repayment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costs” </w:t>
      </w:r>
      <w:r>
        <w:rPr>
          <w:rFonts w:ascii="Times New Roman" w:hAnsi="Times New Roman"/>
          <w:b w:val="false"/>
          <w:i w:val="false"/>
          <w:color w:val="000000"/>
          <w:sz w:val="22"/>
        </w:rPr>
        <w:t>means costs not directly arising from a specific product,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“Landfill diversion rate” </w:t>
      </w:r>
      <w:r>
        <w:rPr>
          <w:rFonts w:ascii="Times New Roman" w:hAnsi="Times New Roman"/>
          <w:b w:val="false"/>
          <w:i w:val="false"/>
          <w:color w:val="000000"/>
          <w:sz w:val="22"/>
        </w:rPr>
        <w:t xml:space="preserve">means the weight of materials diverted from a sanitary landfill, divided by the total weight of the building and its contents, expressed as a percentage. Materials diverted from a sanitary landfill do not include material combusted without energy recovery or material dumped or discarded in violation of Iowa Code sections </w:t>
      </w:r>
      <w:hyperlink r:id="rId5">
        <w:r>
          <w:rPr>
            <w:rStyle w:val="Hyperlink"/>
            <w:rFonts w:ascii="Times New Roman" w:hAnsi="Times New Roman"/>
            <w:b w:val="false"/>
            <w:i w:val="false"/>
            <w:color w:val="000000"/>
            <w:sz w:val="22"/>
          </w:rPr>
          <w:t>455B.307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455B.307A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an award of financial assistance with the requirement that the award be repaid including interest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“Overhead costs” </w:t>
      </w:r>
      <w:r>
        <w:rPr>
          <w:rFonts w:ascii="Times New Roman" w:hAnsi="Times New Roman"/>
          <w:b w:val="false"/>
          <w:i w:val="false"/>
          <w:color w:val="000000"/>
          <w:sz w:val="22"/>
        </w:rPr>
        <w:t>means expenses not chargeable to a particular part of the work or product, including but not limited to utilities, insurance, and 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“Phase I environmental assessment” </w:t>
      </w:r>
      <w:r>
        <w:rPr>
          <w:rFonts w:ascii="Times New Roman" w:hAnsi="Times New Roman"/>
          <w:b w:val="false"/>
          <w:i w:val="false"/>
          <w:color w:val="000000"/>
          <w:sz w:val="22"/>
        </w:rPr>
        <w:t>means review of known environmental records and land use information about the site and vicinity.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“Phase II environmental assessment” </w:t>
      </w:r>
      <w:r>
        <w:rPr>
          <w:rFonts w:ascii="Times New Roman" w:hAnsi="Times New Roman"/>
          <w:b w:val="false"/>
          <w:i w:val="false"/>
          <w:color w:val="000000"/>
          <w:sz w:val="22"/>
        </w:rPr>
        <w:t>means actual soil, groundwater and structural material sampling and testing to confirm or deny the presence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any applicant selected to receive financial assistance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“Sanitary landfill” </w:t>
      </w:r>
      <w:r>
        <w:rPr>
          <w:rFonts w:ascii="Times New Roman" w:hAnsi="Times New Roman"/>
          <w:b w:val="false"/>
          <w:i w:val="false"/>
          <w:color w:val="000000"/>
          <w:sz w:val="22"/>
        </w:rPr>
        <w:t>means a permitted disposal site where solid waste is buried between layers of earth.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alternatives program eligibility” </w:t>
      </w:r>
      <w:r>
        <w:rPr>
          <w:rFonts w:ascii="Times New Roman" w:hAnsi="Times New Roman"/>
          <w:b w:val="false"/>
          <w:i w:val="false"/>
          <w:color w:val="000000"/>
          <w:sz w:val="22"/>
        </w:rPr>
        <w:t>means any unit of local government, public or private group, individual or business that has an interest in or has responsibility for solid waste management in Iowa and is currently in compliance with all applicable state statutes and regulations is eligible to apply for the solid waste alternatives program (SWAP).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reduction” </w:t>
      </w:r>
      <w:r>
        <w:rPr>
          <w:rFonts w:ascii="Times New Roman" w:hAnsi="Times New Roman"/>
          <w:b w:val="false"/>
          <w:i w:val="false"/>
          <w:color w:val="000000"/>
          <w:sz w:val="22"/>
        </w:rPr>
        <w:t>means practices which reduce, avoid, or eliminate the generation of solid waste at the source. Waste reduction is not merely the shifting of a waste stream from one medium to another medium.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567—209.4</w:t>
      </w:r>
      <w:r>
        <w:rPr>
          <w:rFonts w:ascii="Times New Roman" w:hAnsi="Times New Roman"/>
          <w:b/>
          <w:i w:val="false"/>
          <w:color w:val="000000"/>
          <w:sz w:val="22"/>
        </w:rPr>
        <w:t xml:space="preserve">(455B,455E) </w:t>
      </w:r>
      <w:r>
        <w:rPr>
          <w:rFonts w:ascii="Times New Roman" w:hAnsi="Times New Roman"/>
          <w:b/>
          <w:i w:val="false"/>
          <w:color w:val="000000"/>
          <w:sz w:val="22"/>
        </w:rPr>
        <w:t xml:space="preserve">Role of the department. </w:t>
      </w:r>
      <w:r>
        <w:rPr>
          <w:rFonts w:ascii="Times New Roman" w:hAnsi="Times New Roman"/>
          <w:b w:val="false"/>
          <w:i w:val="false"/>
          <w:color w:val="000000"/>
          <w:sz w:val="22"/>
        </w:rPr>
        <w:t xml:space="preserve">The department is responsible for the administration of funds for projects receiving financial assistance under these rules. The department will ensure that funds disbursed meet guidelines established by Iowa Code sections </w:t>
      </w:r>
      <w:hyperlink r:id="rId7">
        <w:r>
          <w:rPr>
            <w:rStyle w:val="Hyperlink"/>
            <w:rFonts w:ascii="Times New Roman" w:hAnsi="Times New Roman"/>
            <w:b w:val="false"/>
            <w:i w:val="false"/>
            <w:color w:val="000000"/>
            <w:sz w:val="22"/>
          </w:rPr>
          <w:t>455E.11(2)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(e) and </w:t>
      </w:r>
      <w:hyperlink r:id="rId8">
        <w:r>
          <w:rPr>
            <w:rStyle w:val="Hyperlink"/>
            <w:rFonts w:ascii="Times New Roman" w:hAnsi="Times New Roman"/>
            <w:b w:val="false"/>
            <w:i w:val="false"/>
            <w:color w:val="000000"/>
            <w:sz w:val="22"/>
          </w:rPr>
          <w:t>455E.11(2)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567—209.5</w:t>
      </w:r>
      <w:r>
        <w:rPr>
          <w:rFonts w:ascii="Times New Roman" w:hAnsi="Times New Roman"/>
          <w:b/>
          <w:i w:val="false"/>
          <w:color w:val="000000"/>
          <w:sz w:val="22"/>
        </w:rPr>
        <w:t xml:space="preserve">(455B,455E) </w:t>
      </w:r>
      <w:r>
        <w:rPr>
          <w:rFonts w:ascii="Times New Roman" w:hAnsi="Times New Roman"/>
          <w:b/>
          <w:i w:val="false"/>
          <w:color w:val="000000"/>
          <w:sz w:val="22"/>
        </w:rPr>
        <w:t xml:space="preserve">Funding sources. </w:t>
      </w:r>
      <w:r>
        <w:rPr>
          <w:rFonts w:ascii="Times New Roman" w:hAnsi="Times New Roman"/>
          <w:b w:val="false"/>
          <w:i w:val="false"/>
          <w:color w:val="000000"/>
          <w:sz w:val="22"/>
        </w:rPr>
        <w:t>The department will use moneys that are appropriated by the legislature and that may be obtained from other sources for the purpose of achieving the goals outlined in these rules. The department will ensure that moneys appropriated meet both federal and state guidelines pertaining to their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567—209.6</w:t>
      </w:r>
      <w:r>
        <w:rPr>
          <w:rFonts w:ascii="Times New Roman" w:hAnsi="Times New Roman"/>
          <w:b/>
          <w:i w:val="false"/>
          <w:color w:val="000000"/>
          <w:sz w:val="22"/>
        </w:rPr>
        <w:t xml:space="preserve">(455B,455E) </w:t>
      </w:r>
      <w:r>
        <w:rPr>
          <w:rFonts w:ascii="Times New Roman" w:hAnsi="Times New Roman"/>
          <w:b/>
          <w:i w:val="false"/>
          <w:color w:val="000000"/>
          <w:sz w:val="22"/>
        </w:rPr>
        <w:t xml:space="preserve">Reduced award. </w:t>
      </w:r>
      <w:r>
        <w:rPr>
          <w:rFonts w:ascii="Times New Roman" w:hAnsi="Times New Roman"/>
          <w:b w:val="false"/>
          <w:i w:val="false"/>
          <w:color w:val="000000"/>
          <w:sz w:val="22"/>
        </w:rPr>
        <w:t>The department reserves the right to offer financial assistance in an amount less than that requested by the applicant. In the event that financial assistance offered is less than the amount requested by an applicant, the applicant may be asked to document the impact on the proposed project. Reduced awards shall be offered when the department determines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Program resources are insufficient to provide the level of financial assistance requested to all applicants to which the department intends to offer financial assistance.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applicant could implement the project at a reduced level of financial assistance and achieve the project objectives and the goals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567—209.7</w:t>
      </w:r>
      <w:r>
        <w:rPr>
          <w:rFonts w:ascii="Times New Roman" w:hAnsi="Times New Roman"/>
          <w:b/>
          <w:i w:val="false"/>
          <w:color w:val="000000"/>
          <w:sz w:val="22"/>
        </w:rPr>
        <w:t xml:space="preserve">(455B,455E) </w:t>
      </w:r>
      <w:r>
        <w:rPr>
          <w:rFonts w:ascii="Times New Roman" w:hAnsi="Times New Roman"/>
          <w:b/>
          <w:i w:val="false"/>
          <w:color w:val="000000"/>
          <w:sz w:val="22"/>
        </w:rPr>
        <w:t xml:space="preserve">Fund disbursement limitations. </w:t>
      </w:r>
      <w:r>
        <w:rPr>
          <w:rFonts w:ascii="Times New Roman" w:hAnsi="Times New Roman"/>
          <w:b w:val="false"/>
          <w:i w:val="false"/>
          <w:color w:val="000000"/>
          <w:sz w:val="22"/>
        </w:rPr>
        <w:t>No funds shall be disbursed until the department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Determined the total estimated cost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Determined that financing for the cost-share amount is ensured by the recipient;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Received final design plans from the recipient, if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Received confirmation that all permits or permit amendments have been obtained by the recipient;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Received commitments from the recipient to implement the project;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Executed a written agreement with the recipient;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Determined that the recipient is currently in compliance with all applicable state statutes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567—209.8</w:t>
      </w:r>
      <w:r>
        <w:rPr>
          <w:rFonts w:ascii="Times New Roman" w:hAnsi="Times New Roman"/>
          <w:b/>
          <w:i w:val="false"/>
          <w:color w:val="000000"/>
          <w:sz w:val="22"/>
        </w:rPr>
        <w:t xml:space="preserve">(455B,455E) </w:t>
      </w:r>
      <w:r>
        <w:rPr>
          <w:rFonts w:ascii="Times New Roman" w:hAnsi="Times New Roman"/>
          <w:b/>
          <w:i w:val="false"/>
          <w:color w:val="000000"/>
          <w:sz w:val="22"/>
        </w:rPr>
        <w:t xml:space="preserve">Minimum cost share. </w:t>
      </w:r>
      <w:r>
        <w:rPr>
          <w:rFonts w:ascii="Times New Roman" w:hAnsi="Times New Roman"/>
          <w:b w:val="false"/>
          <w:i w:val="false"/>
          <w:color w:val="000000"/>
          <w:sz w:val="22"/>
        </w:rPr>
        <w:t xml:space="preserve">An applicant shall provide a minimum cash match for the purchase of each good and service for which department-awarded financial assistance will be used. The applicant’s minimum cost share shall be in accordance with subrule </w:t>
      </w:r>
      <w:hyperlink r:id="rId9">
        <w:r>
          <w:rPr>
            <w:rStyle w:val="Hyperlink"/>
            <w:rFonts w:ascii="Times New Roman" w:hAnsi="Times New Roman"/>
            <w:b w:val="false"/>
            <w:i w:val="false"/>
            <w:color w:val="000000"/>
            <w:sz w:val="22"/>
          </w:rPr>
          <w:t>209.16(3)</w:t>
        </w:r>
      </w:hyperlink>
      <w:r>
        <w:rPr>
          <w:rFonts w:ascii="Times New Roman" w:hAnsi="Times New Roman"/>
          <w:b w:val="false"/>
          <w:i w:val="false"/>
          <w:color w:val="000000"/>
          <w:sz w:val="22"/>
        </w:rPr>
        <w:t xml:space="preserve"> for the derelict building grant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567—209.9</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Denial of financial assistance. </w:t>
      </w:r>
      <w:r>
        <w:rPr>
          <w:rFonts w:ascii="Times New Roman" w:hAnsi="Times New Roman"/>
          <w:b w:val="false"/>
          <w:i w:val="false"/>
          <w:color w:val="000000"/>
          <w:sz w:val="22"/>
        </w:rPr>
        <w:t>An applicant may be denied financial assistance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Funds are insufficient to award financial assistance to all qualified applicants.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applicant does not meet eligibility requirements pursuant to provisions of subrule </w:t>
      </w:r>
      <w:hyperlink r:id="rId10">
        <w:r>
          <w:rPr>
            <w:rStyle w:val="Hyperlink"/>
            <w:rFonts w:ascii="Times New Roman" w:hAnsi="Times New Roman"/>
            <w:b w:val="false"/>
            <w:i w:val="false"/>
            <w:color w:val="000000"/>
            <w:sz w:val="22"/>
          </w:rPr>
          <w:t>209.15(1)</w:t>
        </w:r>
      </w:hyperlink>
      <w:r>
        <w:rPr>
          <w:rFonts w:ascii="Times New Roman" w:hAnsi="Times New Roman"/>
          <w:b w:val="false"/>
          <w:i w:val="false"/>
          <w:color w:val="000000"/>
          <w:sz w:val="22"/>
        </w:rPr>
        <w:t xml:space="preserve"> for the solid waste alternatives program or subrule </w:t>
      </w:r>
      <w:hyperlink r:id="rId11">
        <w:r>
          <w:rPr>
            <w:rStyle w:val="Hyperlink"/>
            <w:rFonts w:ascii="Times New Roman" w:hAnsi="Times New Roman"/>
            <w:b w:val="false"/>
            <w:i w:val="false"/>
            <w:color w:val="000000"/>
            <w:sz w:val="22"/>
          </w:rPr>
          <w:t>209.16(1)</w:t>
        </w:r>
      </w:hyperlink>
      <w:r>
        <w:rPr>
          <w:rFonts w:ascii="Times New Roman" w:hAnsi="Times New Roman"/>
          <w:b w:val="false"/>
          <w:i w:val="false"/>
          <w:color w:val="000000"/>
          <w:sz w:val="22"/>
        </w:rPr>
        <w:t xml:space="preserve"> for the derelict building grant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 applicant does not provide sufficient requested information on forms provided by the department pursuant to rule </w:t>
      </w:r>
      <w:hyperlink r:id="rId12">
        <w:r>
          <w:rPr>
            <w:rStyle w:val="Hyperlink"/>
            <w:rFonts w:ascii="Times New Roman" w:hAnsi="Times New Roman"/>
            <w:b w:val="false"/>
            <w:i w:val="false"/>
            <w:color w:val="000000"/>
            <w:sz w:val="22"/>
          </w:rPr>
          <w:t>567—209.12</w:t>
        </w:r>
      </w:hyperlink>
      <w:r>
        <w:rPr>
          <w:rFonts w:ascii="Times New Roman" w:hAnsi="Times New Roman"/>
          <w:b w:val="false"/>
          <w:i w:val="false"/>
          <w:color w:val="000000"/>
          <w:sz w:val="22"/>
        </w:rPr>
        <w:t>(455B,455E).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applicant has previously received financial assistance under these rules and is determined by the department to be delinquent in repaying the loan or delinquent in submitting required documentation.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goals or scope of the project is not consistent with rules </w:t>
      </w:r>
      <w:hyperlink r:id="rId13">
        <w:r>
          <w:rPr>
            <w:rStyle w:val="Hyperlink"/>
            <w:rFonts w:ascii="Times New Roman" w:hAnsi="Times New Roman"/>
            <w:b w:val="false"/>
            <w:i w:val="false"/>
            <w:color w:val="000000"/>
            <w:sz w:val="22"/>
          </w:rPr>
          <w:t>567—209.1</w:t>
        </w:r>
      </w:hyperlink>
      <w:r>
        <w:rPr>
          <w:rFonts w:ascii="Times New Roman" w:hAnsi="Times New Roman"/>
          <w:b w:val="false"/>
          <w:i w:val="false"/>
          <w:color w:val="000000"/>
          <w:sz w:val="22"/>
        </w:rPr>
        <w:t xml:space="preserve">(455B,455E) and </w:t>
      </w:r>
      <w:hyperlink r:id="rId14">
        <w:r>
          <w:rPr>
            <w:rStyle w:val="Hyperlink"/>
            <w:rFonts w:ascii="Times New Roman" w:hAnsi="Times New Roman"/>
            <w:b w:val="false"/>
            <w:i w:val="false"/>
            <w:color w:val="000000"/>
            <w:sz w:val="22"/>
          </w:rPr>
          <w:t>567—209.2</w:t>
        </w:r>
      </w:hyperlink>
      <w:r>
        <w:rPr>
          <w:rFonts w:ascii="Times New Roman" w:hAnsi="Times New Roman"/>
          <w:b w:val="false"/>
          <w:i w:val="false"/>
          <w:color w:val="000000"/>
          <w:sz w:val="22"/>
        </w:rPr>
        <w:t>(455B,455E).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project does not meet the criteria of an eligible project in subrule </w:t>
      </w:r>
      <w:hyperlink r:id="rId15">
        <w:r>
          <w:rPr>
            <w:rStyle w:val="Hyperlink"/>
            <w:rFonts w:ascii="Times New Roman" w:hAnsi="Times New Roman"/>
            <w:b w:val="false"/>
            <w:i w:val="false"/>
            <w:color w:val="000000"/>
            <w:sz w:val="22"/>
          </w:rPr>
          <w:t>209.15(2)</w:t>
        </w:r>
      </w:hyperlink>
      <w:r>
        <w:rPr>
          <w:rFonts w:ascii="Times New Roman" w:hAnsi="Times New Roman"/>
          <w:b w:val="false"/>
          <w:i w:val="false"/>
          <w:color w:val="000000"/>
          <w:sz w:val="22"/>
        </w:rPr>
        <w:t xml:space="preserve"> for the solid waste alternatives program or subrule </w:t>
      </w:r>
      <w:hyperlink r:id="rId16">
        <w:r>
          <w:rPr>
            <w:rStyle w:val="Hyperlink"/>
            <w:rFonts w:ascii="Times New Roman" w:hAnsi="Times New Roman"/>
            <w:b w:val="false"/>
            <w:i w:val="false"/>
            <w:color w:val="000000"/>
            <w:sz w:val="22"/>
          </w:rPr>
          <w:t>209.16(2)</w:t>
        </w:r>
      </w:hyperlink>
      <w:r>
        <w:rPr>
          <w:rFonts w:ascii="Times New Roman" w:hAnsi="Times New Roman"/>
          <w:b w:val="false"/>
          <w:i w:val="false"/>
          <w:color w:val="000000"/>
          <w:sz w:val="22"/>
        </w:rPr>
        <w:t xml:space="preserve"> for the derelict building grant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567—209.10</w:t>
      </w:r>
      <w:r>
        <w:rPr>
          <w:rFonts w:ascii="Times New Roman" w:hAnsi="Times New Roman"/>
          <w:b/>
          <w:i w:val="false"/>
          <w:color w:val="000000"/>
          <w:sz w:val="22"/>
        </w:rPr>
        <w:t xml:space="preserve">(455B,455E) </w:t>
      </w:r>
      <w:r>
        <w:rPr>
          <w:rFonts w:ascii="Times New Roman" w:hAnsi="Times New Roman"/>
          <w:b/>
          <w:i w:val="false"/>
          <w:color w:val="000000"/>
          <w:sz w:val="22"/>
        </w:rPr>
        <w:t xml:space="preserve">Eligible costs. </w:t>
      </w:r>
      <w:r>
        <w:rPr>
          <w:rFonts w:ascii="Times New Roman" w:hAnsi="Times New Roman"/>
          <w:b w:val="false"/>
          <w:i w:val="false"/>
          <w:color w:val="000000"/>
          <w:sz w:val="22"/>
        </w:rPr>
        <w:t>Applicants may request, for the implementation and operation of a project, financial assistance which includes, but is not limited to, funds for the purpose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Purchase and installation of waste reduction equipment;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Purchase and installation of collection, processing, or hauling equipment;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Development, printing and distribution of educational materials;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Planning and implementation of educational forums, including but not limited to workshops;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Materials and labor for construction, deconstruction, or renovation of buildings;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Salaries directly related to implementation and operation of the project;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Laboratory analysis costs;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Engineering or consulting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567—209.11</w:t>
      </w:r>
      <w:r>
        <w:rPr>
          <w:rFonts w:ascii="Times New Roman" w:hAnsi="Times New Roman"/>
          <w:b/>
          <w:i w:val="false"/>
          <w:color w:val="000000"/>
          <w:sz w:val="22"/>
        </w:rPr>
        <w:t xml:space="preserve">(455B,455E) </w:t>
      </w:r>
      <w:r>
        <w:rPr>
          <w:rFonts w:ascii="Times New Roman" w:hAnsi="Times New Roman"/>
          <w:b/>
          <w:i w:val="false"/>
          <w:color w:val="000000"/>
          <w:sz w:val="22"/>
        </w:rPr>
        <w:t xml:space="preserve">Ineligible costs. </w:t>
      </w:r>
      <w:r>
        <w:rPr>
          <w:rFonts w:ascii="Times New Roman" w:hAnsi="Times New Roman"/>
          <w:b w:val="false"/>
          <w:i w:val="false"/>
          <w:color w:val="000000"/>
          <w:sz w:val="22"/>
        </w:rPr>
        <w:t>Financial assistance shall not be provided or used for costs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Taxes;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Vehicle registration;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Overhead expenses;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Indirect costs;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Legal costs;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Contingency funds;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Proposal preparation;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Contractual project administration;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Land acquisition;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Office furniture, office computers, fax machines and other office furnishings and equipment;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Costs for which payment has been or will be received under another federal, state or private financial assistance program;</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Costs incurred before a written agreement has been executed between the applicant and the department; and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Insurance premiums or other costs associated with insuring items purchased using program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567—209.12</w:t>
      </w:r>
      <w:r>
        <w:rPr>
          <w:rFonts w:ascii="Times New Roman" w:hAnsi="Times New Roman"/>
          <w:b/>
          <w:i w:val="false"/>
          <w:color w:val="000000"/>
          <w:sz w:val="22"/>
        </w:rPr>
        <w:t xml:space="preserve">(455B,455E) </w:t>
      </w:r>
      <w:r>
        <w:rPr>
          <w:rFonts w:ascii="Times New Roman" w:hAnsi="Times New Roman"/>
          <w:b/>
          <w:i w:val="false"/>
          <w:color w:val="000000"/>
          <w:sz w:val="22"/>
        </w:rPr>
        <w:t xml:space="preserve">Applications. </w:t>
      </w:r>
      <w:r>
        <w:rPr>
          <w:rFonts w:ascii="Times New Roman" w:hAnsi="Times New Roman"/>
          <w:b w:val="false"/>
          <w:i w:val="false"/>
          <w:color w:val="000000"/>
          <w:sz w:val="22"/>
        </w:rPr>
        <w:t>Applicants shall submit applications on forms provided by the department. Applications are considered part of the public record. Unless otherwise designated in the solid waste alternatives program application forms or the derelict building grant program application guideline forms, applications will be accepted by the department during normal business hours throughout the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567—209.13</w:t>
      </w:r>
      <w:r>
        <w:rPr>
          <w:rFonts w:ascii="Times New Roman" w:hAnsi="Times New Roman"/>
          <w:b/>
          <w:i w:val="false"/>
          <w:color w:val="000000"/>
          <w:sz w:val="22"/>
        </w:rPr>
        <w:t xml:space="preserve">(455B,455E) </w:t>
      </w:r>
      <w:r>
        <w:rPr>
          <w:rFonts w:ascii="Times New Roman" w:hAnsi="Times New Roman"/>
          <w:b/>
          <w:i w:val="false"/>
          <w:color w:val="000000"/>
          <w:sz w:val="22"/>
        </w:rPr>
        <w:t xml:space="preserve">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209.13(1)</w:t>
      </w:r>
      <w:r>
        <w:rPr>
          <w:rFonts w:ascii="Times New Roman" w:hAnsi="Times New Roman"/>
          <w:b w:val="false"/>
          <w:i w:val="false"/>
          <w:color w:val="000000"/>
          <w:sz w:val="22"/>
        </w:rPr>
        <w:t> </w:t>
      </w:r>
      <w:r>
        <w:rPr>
          <w:rFonts w:ascii="Times New Roman" w:hAnsi="Times New Roman"/>
          <w:b w:val="false"/>
          <w:i w:val="false"/>
          <w:color w:val="000000"/>
          <w:sz w:val="22"/>
        </w:rPr>
        <w:t>To receive consideration under these rules, applications for financial assistance submitted to the department must be provided to the agency responsible for submitting an approved solid waste comprehensive plan or a subsequent solid waste comprehensive plan or by solid waste agencies participating in the environmental management system for agency review and comment. Applications shall be provided to the agency in the area in which the proposed project is located or the area or areas in which the proposed project will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209.13(2)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coordinate evaluation of applications, and applicants will be awarded financial assistance based on review committee recommendations.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567—209.14</w:t>
      </w:r>
      <w:r>
        <w:rPr>
          <w:rFonts w:ascii="Times New Roman" w:hAnsi="Times New Roman"/>
          <w:b/>
          <w:i w:val="false"/>
          <w:color w:val="000000"/>
          <w:sz w:val="22"/>
        </w:rPr>
        <w:t xml:space="preserve">(455B,455E) </w:t>
      </w:r>
      <w:r>
        <w:rPr>
          <w:rFonts w:ascii="Times New Roman" w:hAnsi="Times New Roman"/>
          <w:b/>
          <w:i w:val="false"/>
          <w:color w:val="000000"/>
          <w:sz w:val="22"/>
        </w:rPr>
        <w:t xml:space="preserve">Written agreement. </w:t>
      </w:r>
      <w:r>
        <w:rPr>
          <w:rFonts w:ascii="Times New Roman" w:hAnsi="Times New Roman"/>
          <w:b w:val="false"/>
          <w:i w:val="false"/>
          <w:color w:val="000000"/>
          <w:sz w:val="22"/>
        </w:rPr>
        <w:t>Recipients shall enter into a contract with the department for the purposes of implementing the project for which financial assistance has been awarded. The agreement shall be signed by the appropriate department signatory and the recipient’s authorized signatory. Conditions to successfully implement and manage agreements shall be expressed in the signed agreement. The department may terminate agreements and seek the return of funds released under the agreement for failure by the recipient to perform under the terms and conditions of the agreement. Amendments to agreements may be adopted by mutual written consent of the department and the recipient.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567—209.15</w:t>
      </w:r>
      <w:r>
        <w:rPr>
          <w:rFonts w:ascii="Times New Roman" w:hAnsi="Times New Roman"/>
          <w:b/>
          <w:i w:val="false"/>
          <w:color w:val="000000"/>
          <w:sz w:val="22"/>
        </w:rPr>
        <w:t xml:space="preserve">(455B,455E) </w:t>
      </w:r>
      <w:r>
        <w:rPr>
          <w:rFonts w:ascii="Times New Roman" w:hAnsi="Times New Roman"/>
          <w:b/>
          <w:i w:val="false"/>
          <w:color w:val="000000"/>
          <w:sz w:val="22"/>
        </w:rPr>
        <w:t xml:space="preserve">Solid waste alternatives program. </w:t>
      </w:r>
      <w:r>
        <w:rPr>
          <w:rFonts w:ascii="Times New Roman" w:hAnsi="Times New Roman"/>
          <w:b w:val="false"/>
          <w:i w:val="false"/>
          <w:color w:val="000000"/>
          <w:sz w:val="22"/>
        </w:rPr>
        <w:t>Financial assistance awarded under the solid waste alternatives program shall be used to implement activities that support the practical and beneficial use of solid waste materials and for activities leading to a reduction in the reliance on sanitary landfills for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209.15(1)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unit of local government, public or private group, individual or business that has an interest in or has responsibility for solid waste management in Iowa and is currently in compliance with all applicable state statutes and regulations is eligible to apply for the solid waste alternatives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209.15(2)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 xml:space="preserve">The department may provide financial assistance to applicants for the following types of projects that are consistent with the goal and purpose of this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Best practices — practices and programs that will move Iowa toward long-term pollution prevention, waste reduction and recycling sustainability;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 practices and programs that are consistent with a coordinated statewide message on pollution prevention, waste reduction, and recycling to ensure ongoing support of these integrated solid waste management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Market development — practices and programs that develop a demand for value-added recyclables sufficient to provide increased and stable commodity markets.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209.15(3)</w:t>
      </w:r>
      <w:r>
        <w:rPr>
          <w:rFonts w:ascii="Times New Roman" w:hAnsi="Times New Roman"/>
          <w:b w:val="false"/>
          <w:i w:val="false"/>
          <w:color w:val="000000"/>
          <w:sz w:val="22"/>
        </w:rPr>
        <w:t> </w:t>
      </w:r>
      <w:r>
        <w:rPr>
          <w:rFonts w:ascii="Times New Roman" w:hAnsi="Times New Roman"/>
          <w:b w:val="false"/>
          <w:i/>
          <w:color w:val="000000"/>
          <w:sz w:val="22"/>
        </w:rPr>
        <w:t xml:space="preserve">Type of financial assistance. </w:t>
      </w:r>
      <w:r>
        <w:rPr>
          <w:rFonts w:ascii="Times New Roman" w:hAnsi="Times New Roman"/>
          <w:b w:val="false"/>
          <w:i w:val="false"/>
          <w:color w:val="000000"/>
          <w:sz w:val="22"/>
        </w:rPr>
        <w:t>The type of financial assistance (forgivable loan, zero interest loan, low-interest loan) offered to an applicant is dependent upon factors such as, but not limited to, the amount of program funds awarded, level of new landfill diversion, profit generation and project uniqueness. The department reserves the right to offer any combination of types of financial assistance to any selected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209.15(4)</w:t>
      </w:r>
      <w:r>
        <w:rPr>
          <w:rFonts w:ascii="Times New Roman" w:hAnsi="Times New Roman"/>
          <w:b w:val="false"/>
          <w:i w:val="false"/>
          <w:color w:val="000000"/>
          <w:sz w:val="22"/>
        </w:rPr>
        <w:t> </w:t>
      </w:r>
      <w:r>
        <w:rPr>
          <w:rFonts w:ascii="Times New Roman" w:hAnsi="Times New Roman"/>
          <w:b w:val="false"/>
          <w:i/>
          <w:color w:val="000000"/>
          <w:sz w:val="22"/>
        </w:rPr>
        <w:t xml:space="preserve">Loans. </w:t>
      </w:r>
      <w:r>
        <w:rPr>
          <w:rFonts w:ascii="Times New Roman" w:hAnsi="Times New Roman"/>
          <w:b w:val="false"/>
          <w:i w:val="false"/>
          <w:color w:val="000000"/>
          <w:sz w:val="22"/>
        </w:rPr>
        <w:t>The term of all loans executed under these rules shall be determined on a case-by-case basis and shall be based on the specific capital costs financed, as well as the terms of other financing provided for the project. The written agreement between the department and the recipient will establish other conditions or terms needed to manage or implement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567—209.16</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Derelict building grant program. </w:t>
      </w:r>
      <w:r>
        <w:rPr>
          <w:rFonts w:ascii="Times New Roman" w:hAnsi="Times New Roman"/>
          <w:b w:val="false"/>
          <w:i w:val="false"/>
          <w:color w:val="000000"/>
          <w:sz w:val="22"/>
        </w:rPr>
        <w:t>Financial assistance awarded under the derelict building grant program is available to communities of 5,000 or fewer to help improve the attractiveness and appearance of their jurisdictions by providing financial assistance for eligible projects. Each project must have a landfill diversion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209.16(1)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county or municipal government with a population of 5,000 or fewer is eligible to apply for a derelict building grant. An applicant may partner with a local nonprofit organization on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209.16(2)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A community’s building is eligible for the program if the building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building is an abandoned commercial or public building of which a local government has ownership or an intent to own.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building is not on the National Register of Historic Places.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209.16(3)</w:t>
      </w:r>
      <w:r>
        <w:rPr>
          <w:rFonts w:ascii="Times New Roman" w:hAnsi="Times New Roman"/>
          <w:b w:val="false"/>
          <w:i w:val="false"/>
          <w:color w:val="000000"/>
          <w:sz w:val="22"/>
        </w:rPr>
        <w:t> </w:t>
      </w:r>
      <w:r>
        <w:rPr>
          <w:rFonts w:ascii="Times New Roman" w:hAnsi="Times New Roman"/>
          <w:b w:val="false"/>
          <w:i/>
          <w:color w:val="000000"/>
          <w:sz w:val="22"/>
        </w:rPr>
        <w:t xml:space="preserve">Eligible activities and amount of financial assistance. </w:t>
      </w:r>
      <w:r>
        <w:rPr>
          <w:rFonts w:ascii="Times New Roman" w:hAnsi="Times New Roman"/>
          <w:b w:val="false"/>
          <w:i w:val="false"/>
          <w:color w:val="000000"/>
          <w:sz w:val="22"/>
        </w:rPr>
        <w:t>The eligible activities and amount of financial assistance for each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Asbestos-containing material inspections: 100 percent reimbursement for inspection costs conducted by a state of Iowa-licensed asbestos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Abatement of asbestos-containing material: 100 percent reimbursement, not to exceed $10,000, for abatement of ACM performed by a state of Iowa-licensed asbestos contractor. A 50 percent cost share is required for those costs exceeding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engineering analysis: 100 percent reimbursement not to exceed $1,500 for a structural engineering analysis conducted by a licensed structural engineer or architectural historian to determine the ability to renovate the building. The recipient is responsible for all costs exceeding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Phase I environmental assessment: 100 percent reimbursement not to exceed $3,000 for conducting a Phase I environmental assessment. The recipient is responsible for all costs exceeding $3,000.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Phase II environmental assessment: 50 percent reimbursement not to exceed $2,500 for conducting a Phase II environmental assessment. The recipient is responsible for all costs exceeding $5,000. The need for this assessment is determined by the results of the Phase I environmental assessment and involves the sampling of structure components, soil, and groundwater to confirm or deny the presence of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Building renovation: 50 percent reimbursement not to exceed $50,000 for renovation costs,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Restoration or removal of materials for reuse, either at the site or off site, or for recycling.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Roof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Tuck-pointing of exterior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Deconstruction: 50 percent reimbursement not to exceed $50,000 for costs related to deconstruction. All deconstruction projects must achieve a minimum landfill diversion rate of 30 percent of the structure by weight to receive reimbursement for deconstruction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209.16(4)</w:t>
      </w:r>
      <w:r>
        <w:rPr>
          <w:rFonts w:ascii="Times New Roman" w:hAnsi="Times New Roman"/>
          <w:b w:val="false"/>
          <w:i w:val="false"/>
          <w:color w:val="000000"/>
          <w:sz w:val="22"/>
        </w:rPr>
        <w:t> </w:t>
      </w:r>
      <w:r>
        <w:rPr>
          <w:rFonts w:ascii="Times New Roman" w:hAnsi="Times New Roman"/>
          <w:b w:val="false"/>
          <w:i/>
          <w:color w:val="000000"/>
          <w:sz w:val="22"/>
        </w:rPr>
        <w:t xml:space="preserve">Deconstruction cost-share incentive. </w:t>
      </w:r>
      <w:r>
        <w:rPr>
          <w:rFonts w:ascii="Times New Roman" w:hAnsi="Times New Roman"/>
          <w:b w:val="false"/>
          <w:i w:val="false"/>
          <w:color w:val="000000"/>
          <w:sz w:val="22"/>
        </w:rPr>
        <w:t>For every additional 10 percent above 30 percent of landfill diversion by weight that is documented upon completion of the project, the applicant’s cost share is reduced by 5 percent and the grant award amount will increase by 5 percent. The maximum grant award for deconstruction projects shall not exceed $75,000.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2314C</w:t>
      </w:r>
      <w:r>
        <w:rPr>
          <w:rFonts w:ascii="Times New Roman" w:hAnsi="Times New Roman"/>
          <w:b w:val="false"/>
          <w:i w:val="false"/>
          <w:color w:val="000000"/>
          <w:sz w:val="16"/>
        </w:rPr>
        <w:t>, IAB 12/23/15, effective 1/27/16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455E.11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2/18/88 after Notice 12/30/87—published 3/9/88, effective 2/19/88]</w:t>
      </w:r>
    </w:p>
    <w:p>
      <w:pPr>
        <w:spacing w:before="0" w:after="0"/>
        <w:ind w:left="120"/>
        <w:jc w:val="center"/>
      </w:pPr>
      <w:r>
        <w:rPr>
          <w:rFonts w:ascii="Times New Roman" w:hAnsi="Times New Roman"/>
          <w:b w:val="false"/>
          <w:i w:val="false"/>
          <w:color w:val="000000"/>
          <w:sz w:val="21"/>
        </w:rPr>
        <w:t>[Filed 12/23/88, Notice 10/19/88—published 1/11/89, effective 2/15/89]</w:t>
      </w:r>
    </w:p>
    <w:p>
      <w:pPr>
        <w:spacing w:before="0" w:after="0"/>
        <w:ind w:left="120"/>
        <w:jc w:val="center"/>
      </w:pPr>
      <w:r>
        <w:rPr>
          <w:rFonts w:ascii="Times New Roman" w:hAnsi="Times New Roman"/>
          <w:b w:val="false"/>
          <w:i w:val="false"/>
          <w:color w:val="000000"/>
          <w:sz w:val="21"/>
        </w:rPr>
        <w:t>[Filed 8/31/90, Notice 6/13/90—published 9/19/90, effective 12/1/90]</w:t>
      </w:r>
    </w:p>
    <w:p>
      <w:pPr>
        <w:spacing w:before="0" w:after="0"/>
        <w:ind w:left="120"/>
        <w:jc w:val="center"/>
      </w:pPr>
      <w:r>
        <w:rPr>
          <w:rFonts w:ascii="Times New Roman" w:hAnsi="Times New Roman"/>
          <w:b w:val="false"/>
          <w:i w:val="false"/>
          <w:color w:val="000000"/>
          <w:sz w:val="21"/>
        </w:rPr>
        <w:t>[Filed emergency 10/16/90—published 11/14/90, effective 10/25/90]</w:t>
      </w:r>
    </w:p>
    <w:p>
      <w:pPr>
        <w:spacing w:before="0" w:after="0"/>
        <w:ind w:left="120"/>
        <w:jc w:val="center"/>
      </w:pPr>
      <w:r>
        <w:rPr>
          <w:rFonts w:ascii="Times New Roman" w:hAnsi="Times New Roman"/>
          <w:b w:val="false"/>
          <w:i w:val="false"/>
          <w:color w:val="000000"/>
          <w:sz w:val="21"/>
        </w:rPr>
        <w:t>[Filed 3/25/94, Notice 1/19/94—published 4/13/94, effective 5/18/94]</w:t>
      </w:r>
    </w:p>
    <w:p>
      <w:pPr>
        <w:spacing w:before="0" w:after="0"/>
        <w:ind w:left="120"/>
        <w:jc w:val="center"/>
      </w:pPr>
      <w:r>
        <w:rPr>
          <w:rFonts w:ascii="Times New Roman" w:hAnsi="Times New Roman"/>
          <w:b w:val="false"/>
          <w:i w:val="false"/>
          <w:color w:val="000000"/>
          <w:sz w:val="21"/>
        </w:rPr>
        <w:t>[Filed 3/19/99, Notice 1/13/99—published 4/7/99, effective 5/12/99]</w:t>
      </w:r>
    </w:p>
    <w:p>
      <w:pPr>
        <w:spacing w:before="0" w:after="0"/>
        <w:ind w:left="120"/>
        <w:jc w:val="center"/>
      </w:pPr>
      <w:r>
        <w:rPr>
          <w:rFonts w:ascii="Times New Roman" w:hAnsi="Times New Roman"/>
          <w:b w:val="false"/>
          <w:i w:val="false"/>
          <w:color w:val="000000"/>
          <w:sz w:val="21"/>
        </w:rPr>
        <w:t>[Filed ARC 2314C</w:t>
      </w:r>
      <w:r>
        <w:rPr>
          <w:rFonts w:ascii="Times New Roman" w:hAnsi="Times New Roman"/>
          <w:b w:val="false"/>
          <w:i w:val="false"/>
          <w:color w:val="000000"/>
          <w:sz w:val="21"/>
        </w:rPr>
        <w:t xml:space="preserve"> (Notice ARC 2140C, IAB 9/16/15)</w:t>
      </w:r>
      <w:r>
        <w:rPr>
          <w:rFonts w:ascii="Times New Roman" w:hAnsi="Times New Roman"/>
          <w:b w:val="false"/>
          <w:i w:val="false"/>
          <w:color w:val="000000"/>
          <w:sz w:val="21"/>
        </w:rPr>
        <w:t>, IAB 12/23/15, effective 1/27/16]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7.pdf" Type="http://schemas.openxmlformats.org/officeDocument/2006/relationships/hyperlink" Id="rId5"/>
    <Relationship TargetMode="External" Target="https://www.legis.iowa.gov/docs/ico/chapter/455B.307A.pdf" Type="http://schemas.openxmlformats.org/officeDocument/2006/relationships/hyperlink" Id="rId6"/>
    <Relationship TargetMode="External" Target="https://www.legis.iowa.gov/docs/ico/chapter/455E.11.pdf" Type="http://schemas.openxmlformats.org/officeDocument/2006/relationships/hyperlink" Id="rId7"/>
    <Relationship TargetMode="External" Target="https://www.legis.iowa.gov/docs/ico/chapter/455E.11.pdf" Type="http://schemas.openxmlformats.org/officeDocument/2006/relationships/hyperlink" Id="rId8"/>
    <Relationship TargetMode="External" Target="https://www.legis.iowa.gov/docs/iac/rule/567.209.16.pdf" Type="http://schemas.openxmlformats.org/officeDocument/2006/relationships/hyperlink" Id="rId9"/>
    <Relationship TargetMode="External" Target="https://www.legis.iowa.gov/docs/iac/rule/567.209.15.pdf" Type="http://schemas.openxmlformats.org/officeDocument/2006/relationships/hyperlink" Id="rId10"/>
    <Relationship TargetMode="External" Target="https://www.legis.iowa.gov/docs/iac/rule/567.209.16.pdf" Type="http://schemas.openxmlformats.org/officeDocument/2006/relationships/hyperlink" Id="rId11"/>
    <Relationship TargetMode="External" Target="https://www.legis.iowa.gov/docs/iac/rule/567.209.12.pdf" Type="http://schemas.openxmlformats.org/officeDocument/2006/relationships/hyperlink" Id="rId12"/>
    <Relationship TargetMode="External" Target="https://www.legis.iowa.gov/docs/iac/rule/567.209.1.pdf" Type="http://schemas.openxmlformats.org/officeDocument/2006/relationships/hyperlink" Id="rId13"/>
    <Relationship TargetMode="External" Target="https://www.legis.iowa.gov/docs/iac/rule/567.209.2.pdf" Type="http://schemas.openxmlformats.org/officeDocument/2006/relationships/hyperlink" Id="rId14"/>
    <Relationship TargetMode="External" Target="https://www.legis.iowa.gov/docs/iac/rule/567.209.15.pdf" Type="http://schemas.openxmlformats.org/officeDocument/2006/relationships/hyperlink" Id="rId15"/>
    <Relationship TargetMode="External" Target="https://www.legis.iowa.gov/docs/iac/rule/567.209.16.pdf" Type="http://schemas.openxmlformats.org/officeDocument/2006/relationships/hyperlink" Id="rId16"/>
    <Relationship TargetMode="External" Target="https://www.legis.iowa.gov/docs/ico/chapter/455B.301A.pdf" Type="http://schemas.openxmlformats.org/officeDocument/2006/relationships/hyperlink" Id="rId17"/>
    <Relationship TargetMode="External" Target="https://www.legis.iowa.gov/docs/ico/chapter/455E.11.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