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152</w:t>
      </w:r>
    </w:p>
    <w:p>
      <w:pPr>
        <w:spacing w:before="0" w:after="0"/>
        <w:ind w:left="120"/>
        <w:jc w:val="center"/>
      </w:pPr>
      <w:r>
        <w:rPr>
          <w:rFonts w:ascii="Times New Roman" w:hAnsi="Times New Roman"/>
          <w:b w:val="false"/>
          <w:i w:val="false"/>
          <w:color w:val="000000"/>
          <w:sz w:val="21"/>
        </w:rPr>
        <w:t>CRITERIA FOR SITING LOW-LEVEL RADIOACTIVE</w:t>
      </w:r>
      <w:r>
        <w:br/>
      </w:r>
      <w:r>
        <w:rPr>
          <w:rFonts w:ascii="Times New Roman" w:hAnsi="Times New Roman"/>
          <w:b w:val="false"/>
          <w:i w:val="false"/>
          <w:color w:val="000000"/>
          <w:sz w:val="21"/>
        </w:rPr>
        <w:t>WASTE DISPOSAL FACILITIES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567—152.1</w:t>
      </w:r>
      <w:r>
        <w:rPr>
          <w:rFonts w:ascii="Times New Roman" w:hAnsi="Times New Roman"/>
          <w:b/>
          <w:i w:val="false"/>
          <w:color w:val="000000"/>
          <w:sz w:val="22"/>
        </w:rPr>
        <w:t xml:space="preserve">(455B) </w:t>
      </w:r>
      <w:r>
        <w:rPr>
          <w:rFonts w:ascii="Times New Roman" w:hAnsi="Times New Roman"/>
          <w:b/>
          <w:i w:val="false"/>
          <w:color w:val="000000"/>
          <w:sz w:val="22"/>
        </w:rPr>
        <w:t xml:space="preserve">Authority, 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152.1(1)</w:t>
      </w:r>
      <w:r>
        <w:rPr>
          <w:rFonts w:ascii="Times New Roman" w:hAnsi="Times New Roman"/>
          <w:b w:val="false"/>
          <w:i w:val="false"/>
          <w:color w:val="000000"/>
          <w:sz w:val="22"/>
        </w:rPr>
        <w:t> </w:t>
      </w:r>
      <w:r>
        <w:rPr>
          <w:rFonts w:ascii="Times New Roman" w:hAnsi="Times New Roman"/>
          <w:b w:val="false"/>
          <w:i/>
          <w:color w:val="000000"/>
          <w:sz w:val="22"/>
        </w:rPr>
        <w:t xml:space="preserve"> Authority. </w:t>
      </w:r>
      <w:r>
        <w:rPr>
          <w:rFonts w:ascii="Times New Roman" w:hAnsi="Times New Roman"/>
          <w:b w:val="false"/>
          <w:i w:val="false"/>
          <w:color w:val="000000"/>
          <w:sz w:val="22"/>
        </w:rPr>
        <w:t xml:space="preserve">This chapter is authorized in Iowa Code section </w:t>
      </w:r>
      <w:hyperlink r:id="rId5">
        <w:r>
          <w:rPr>
            <w:rStyle w:val="Hyperlink"/>
            <w:rFonts w:ascii="Times New Roman" w:hAnsi="Times New Roman"/>
            <w:b w:val="false"/>
            <w:i w:val="false"/>
            <w:color w:val="000000"/>
            <w:sz w:val="22"/>
          </w:rPr>
          <w:t>455B.486</w:t>
        </w:r>
      </w:hyperlink>
      <w:r>
        <w:rPr>
          <w:rFonts w:ascii="Times New Roman" w:hAnsi="Times New Roman"/>
          <w:b w:val="false"/>
          <w:i w:val="false"/>
          <w:color w:val="000000"/>
          <w:sz w:val="22"/>
        </w:rPr>
        <w:t>, which relates to the siting of low-level radioactive waste disposal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These rules establish criteria for identifying sites which are suitable for operation of low-level radioactive waste disposal facilities. The waste management authority will apply these criteria to identify and recommend to the commission sites suitable for locating these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152.1(3)</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These rules apply only to facilities which are owned or operated by the state of Iowa and privately owned or operated facilities which are located upon land owned by the state of Iowa which are used for low-level radioactive waste disposal pursuant to Iowa Code section </w:t>
      </w:r>
      <w:hyperlink r:id="rId6">
        <w:r>
          <w:rPr>
            <w:rStyle w:val="Hyperlink"/>
            <w:rFonts w:ascii="Times New Roman" w:hAnsi="Times New Roman"/>
            <w:b w:val="false"/>
            <w:i w:val="false"/>
            <w:color w:val="000000"/>
            <w:sz w:val="22"/>
          </w:rPr>
          <w:t>455B.486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567—152.2</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Iowa Code section </w:t>
      </w:r>
      <w:hyperlink r:id="rId7">
        <w:r>
          <w:rPr>
            <w:rStyle w:val="Hyperlink"/>
            <w:rFonts w:ascii="Times New Roman" w:hAnsi="Times New Roman"/>
            <w:b w:val="false"/>
            <w:i w:val="false"/>
            <w:color w:val="000000"/>
            <w:sz w:val="22"/>
          </w:rPr>
          <w:t>455B.482</w:t>
        </w:r>
      </w:hyperlink>
      <w:r>
        <w:rPr>
          <w:rFonts w:ascii="Times New Roman" w:hAnsi="Times New Roman"/>
          <w:b w:val="false"/>
          <w:i w:val="false"/>
          <w:color w:val="000000"/>
          <w:sz w:val="22"/>
        </w:rPr>
        <w:t>, the following definitions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“Aquifers” </w:t>
      </w:r>
      <w:r>
        <w:rPr>
          <w:rFonts w:ascii="Times New Roman" w:hAnsi="Times New Roman"/>
          <w:b w:val="false"/>
          <w:i w:val="false"/>
          <w:color w:val="000000"/>
          <w:sz w:val="22"/>
        </w:rPr>
        <w:t>means water-bearing geological formations, group of formations, or part of a formation capable of yielding significant amounts of groundwater for beneficial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“Conservation area” </w:t>
      </w:r>
      <w:r>
        <w:rPr>
          <w:rFonts w:ascii="Times New Roman" w:hAnsi="Times New Roman"/>
          <w:b w:val="false"/>
          <w:i w:val="false"/>
          <w:color w:val="000000"/>
          <w:sz w:val="22"/>
        </w:rPr>
        <w:t>means any park, recreation area, wildlife area, forest, prairie, preserve, natural area, scenic area owned, managed, or under control of any government agency or organized conservation group on or before the effective date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“Criterion” </w:t>
      </w:r>
      <w:r>
        <w:rPr>
          <w:rFonts w:ascii="Times New Roman" w:hAnsi="Times New Roman"/>
          <w:b w:val="false"/>
          <w:i w:val="false"/>
          <w:color w:val="000000"/>
          <w:sz w:val="22"/>
        </w:rPr>
        <w:t>means a test, rule, measure, or model by which judgment will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“Critical wildlife habitat” </w:t>
      </w:r>
      <w:r>
        <w:rPr>
          <w:rFonts w:ascii="Times New Roman" w:hAnsi="Times New Roman"/>
          <w:b w:val="false"/>
          <w:i w:val="false"/>
          <w:color w:val="000000"/>
          <w:sz w:val="22"/>
        </w:rPr>
        <w:t>means any areas known to be inhabited on a seasonal or permanent basis by, or to be critical at any stage of the life cycle of, any wildlife or vegetation identified as “rare,” “threatened,” or “endangered” by official federal or state lists of species, or is under active consideration for listing.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“Cultural area” </w:t>
      </w:r>
      <w:r>
        <w:rPr>
          <w:rFonts w:ascii="Times New Roman" w:hAnsi="Times New Roman"/>
          <w:b w:val="false"/>
          <w:i w:val="false"/>
          <w:color w:val="000000"/>
          <w:sz w:val="22"/>
        </w:rPr>
        <w:t>means any known property of recognized archaeological, architectural, cultural or historical significance as listed in or eligible for the National Register of Historic Places, the significant state site records of the Office of Historic Preservation, the office of the state archaeologist, or is under active consideration for listing. Archaeological property shall include, but is not limited to, ancient mortuary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“Dam hazard area” </w:t>
      </w:r>
      <w:r>
        <w:rPr>
          <w:rFonts w:ascii="Times New Roman" w:hAnsi="Times New Roman"/>
          <w:b w:val="false"/>
          <w:i w:val="false"/>
          <w:color w:val="000000"/>
          <w:sz w:val="22"/>
        </w:rPr>
        <w:t>means any area identified as an area of dynamic flooding below a dam (the inundation zone) or area of static flooding above a dam (flood pool). The inundation zone includes the area that would be flooded by a flood wave generated by dam failure during a 100-year flood. The static flooding zone is equal to the pool level reached during a 100-year inflow flood, or the top of the dam,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“Drinking water source” </w:t>
      </w:r>
      <w:r>
        <w:rPr>
          <w:rFonts w:ascii="Times New Roman" w:hAnsi="Times New Roman"/>
          <w:b w:val="false"/>
          <w:i w:val="false"/>
          <w:color w:val="000000"/>
          <w:sz w:val="22"/>
        </w:rPr>
        <w:t>means the groundwater or surface water intake of drinking water used for human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means any hazardous waste management facility including land and structures, appurtenances, improvement and equipment for handling, treatment, storage or disposal of hazardous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“Floodplain” </w:t>
      </w:r>
      <w:r>
        <w:rPr>
          <w:rFonts w:ascii="Times New Roman" w:hAnsi="Times New Roman"/>
          <w:b w:val="false"/>
          <w:i w:val="false"/>
          <w:color w:val="000000"/>
          <w:sz w:val="22"/>
        </w:rPr>
        <w:t>means the land adjacent to a stream which has been or may be inundated by a flood having the magnitude of the regional 100-year flood.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“Geological hazard structures” </w:t>
      </w:r>
      <w:r>
        <w:rPr>
          <w:rFonts w:ascii="Times New Roman" w:hAnsi="Times New Roman"/>
          <w:b w:val="false"/>
          <w:i w:val="false"/>
          <w:color w:val="000000"/>
          <w:sz w:val="22"/>
        </w:rPr>
        <w:t>means any faults, fracture zones, or other structures that may provide pathways to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“Karst areas” </w:t>
      </w:r>
      <w:r>
        <w:rPr>
          <w:rFonts w:ascii="Times New Roman" w:hAnsi="Times New Roman"/>
          <w:b w:val="false"/>
          <w:i w:val="false"/>
          <w:color w:val="000000"/>
          <w:sz w:val="22"/>
        </w:rPr>
        <w:t>means a type of topography or surface area covered by alluvial or colluvial sediments that may form over limestone, dolomite, or gypsum formations by dissolving or solutions, and that are characterized by closed depressions or sinkholes, caves, and underground drainage.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“Mineral and energy resources” </w:t>
      </w:r>
      <w:r>
        <w:rPr>
          <w:rFonts w:ascii="Times New Roman" w:hAnsi="Times New Roman"/>
          <w:b w:val="false"/>
          <w:i w:val="false"/>
          <w:color w:val="000000"/>
          <w:sz w:val="22"/>
        </w:rPr>
        <w:t>means minerals, construction materials, metals, coal, gas, and 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“Mining activity” </w:t>
      </w:r>
      <w:r>
        <w:rPr>
          <w:rFonts w:ascii="Times New Roman" w:hAnsi="Times New Roman"/>
          <w:b w:val="false"/>
          <w:i w:val="false"/>
          <w:color w:val="000000"/>
          <w:sz w:val="22"/>
        </w:rPr>
        <w:t>means any area of past or present underground or surface mining, mineral extraction, or major exploration or production drilling for oil, gas, or mineral resources, and any area likely to be influenced by mining activity through subsidence or surface deformation.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“Nonattainment area” </w:t>
      </w:r>
      <w:r>
        <w:rPr>
          <w:rFonts w:ascii="Times New Roman" w:hAnsi="Times New Roman"/>
          <w:b w:val="false"/>
          <w:i w:val="false"/>
          <w:color w:val="000000"/>
          <w:sz w:val="22"/>
        </w:rPr>
        <w:t>means any area not attaining the National Ambient Air Quality Standards as defined in Part D of the Clean Air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“Population area” </w:t>
      </w:r>
      <w:r>
        <w:rPr>
          <w:rFonts w:ascii="Times New Roman" w:hAnsi="Times New Roman"/>
          <w:b w:val="false"/>
          <w:i w:val="false"/>
          <w:color w:val="000000"/>
          <w:sz w:val="22"/>
        </w:rPr>
        <w:t>means any commercial, school, church, social, medical facility, elderly housing, correctional facility, mobile home park, or incorporated residential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“Prevention of significant deterioration” </w:t>
      </w:r>
      <w:r>
        <w:rPr>
          <w:rFonts w:ascii="Times New Roman" w:hAnsi="Times New Roman"/>
          <w:b w:val="false"/>
          <w:i w:val="false"/>
          <w:color w:val="000000"/>
          <w:sz w:val="22"/>
        </w:rPr>
        <w:t>is defined in Part C of the Clean Air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“Prime farmland” </w:t>
      </w:r>
      <w:r>
        <w:rPr>
          <w:rFonts w:ascii="Times New Roman" w:hAnsi="Times New Roman"/>
          <w:b w:val="false"/>
          <w:i w:val="false"/>
          <w:color w:val="000000"/>
          <w:sz w:val="22"/>
        </w:rPr>
        <w:t>means any area identified as such by the United States Department of Agriculture, Soil Conservation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“Protected basins” </w:t>
      </w:r>
      <w:r>
        <w:rPr>
          <w:rFonts w:ascii="Times New Roman" w:hAnsi="Times New Roman"/>
          <w:b w:val="false"/>
          <w:i w:val="false"/>
          <w:color w:val="000000"/>
          <w:sz w:val="22"/>
        </w:rPr>
        <w:t xml:space="preserve">means any portion of the drainage basin of protected water areas within two miles of the water area. Protected water areas are those classified as such pursuant to Iowa Code chapter </w:t>
      </w:r>
      <w:hyperlink r:id="rId8">
        <w:r>
          <w:rPr>
            <w:rStyle w:val="Hyperlink"/>
            <w:rFonts w:ascii="Times New Roman" w:hAnsi="Times New Roman"/>
            <w:b w:val="false"/>
            <w:i w:val="false"/>
            <w:color w:val="000000"/>
            <w:sz w:val="22"/>
          </w:rPr>
          <w:t>462B</w:t>
        </w:r>
      </w:hyperlink>
      <w:r>
        <w:rPr>
          <w:rFonts w:ascii="Times New Roman" w:hAnsi="Times New Roman"/>
          <w:b w:val="false"/>
          <w:i w:val="false"/>
          <w:color w:val="000000"/>
          <w:sz w:val="22"/>
        </w:rPr>
        <w:t xml:space="preserve">, or high-quality waters, high-quality resource waters or Class “C” waters designated in </w:t>
      </w:r>
      <w:hyperlink r:id="rId9">
        <w:r>
          <w:rPr>
            <w:rStyle w:val="Hyperlink"/>
            <w:rFonts w:ascii="Times New Roman" w:hAnsi="Times New Roman"/>
            <w:b w:val="false"/>
            <w:i w:val="false"/>
            <w:color w:val="000000"/>
            <w:sz w:val="22"/>
          </w:rPr>
          <w:t>567—Chapter 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“Proximity to major generators” </w:t>
      </w:r>
      <w:r>
        <w:rPr>
          <w:rFonts w:ascii="Times New Roman" w:hAnsi="Times New Roman"/>
          <w:b w:val="false"/>
          <w:i w:val="false"/>
          <w:color w:val="000000"/>
          <w:sz w:val="22"/>
        </w:rPr>
        <w:t>means within 50 miles of the central point of generation based on the latest available RCRA biennial report on hazardous waste generation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“Seismic risk” </w:t>
      </w:r>
      <w:r>
        <w:rPr>
          <w:rFonts w:ascii="Times New Roman" w:hAnsi="Times New Roman"/>
          <w:b w:val="false"/>
          <w:i w:val="false"/>
          <w:color w:val="000000"/>
          <w:sz w:val="22"/>
        </w:rPr>
        <w:t>means the relative geologic stability of the site based on the likelihood of structural damage due to seismic events. Seismic risk categories, as developed by the National Oceanographic and Atmospheric Administration, will be used to rate relative stability.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“Site” </w:t>
      </w:r>
      <w:r>
        <w:rPr>
          <w:rFonts w:ascii="Times New Roman" w:hAnsi="Times New Roman"/>
          <w:b w:val="false"/>
          <w:i w:val="false"/>
          <w:color w:val="000000"/>
          <w:sz w:val="22"/>
        </w:rPr>
        <w:t>means the land area upon which a facility is, or is proposed to be, physically located, including but not limited to adjacent land use for utility systems such as repair, storage, processing, or other areas incident to the facility or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“Siting authority” </w:t>
      </w:r>
      <w:r>
        <w:rPr>
          <w:rFonts w:ascii="Times New Roman" w:hAnsi="Times New Roman"/>
          <w:b w:val="false"/>
          <w:i w:val="false"/>
          <w:color w:val="000000"/>
          <w:sz w:val="22"/>
        </w:rPr>
        <w:t>means the party with the specific authority to select sites for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“Transportation routes” </w:t>
      </w:r>
      <w:r>
        <w:rPr>
          <w:rFonts w:ascii="Times New Roman" w:hAnsi="Times New Roman"/>
          <w:b w:val="false"/>
          <w:i w:val="false"/>
          <w:color w:val="000000"/>
          <w:sz w:val="22"/>
        </w:rPr>
        <w:t>means any public all-weather hard-surfaced road with adequate capacity to carry the type and volume of commercial vehicular traffic serving the facility for the entire year with no embargoes, special permits or other restrictions on roads, overpasses or bridges that would prevent transportation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“Utilities and services” </w:t>
      </w:r>
      <w:r>
        <w:rPr>
          <w:rFonts w:ascii="Times New Roman" w:hAnsi="Times New Roman"/>
          <w:b w:val="false"/>
          <w:i w:val="false"/>
          <w:color w:val="000000"/>
          <w:sz w:val="22"/>
        </w:rPr>
        <w:t>means electricity, gas, water and sewer utilities, and police, fire protection, and emergency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“Wetlands” </w:t>
      </w:r>
      <w:r>
        <w:rPr>
          <w:rFonts w:ascii="Times New Roman" w:hAnsi="Times New Roman"/>
          <w:b w:val="false"/>
          <w:i w:val="false"/>
          <w:color w:val="000000"/>
          <w:sz w:val="22"/>
        </w:rPr>
        <w:t>means any area inundated by surface or groundwater with a frequency sufficient to support, under normal circumstances, a prevalence of vegetation or wildlife requiring saturated or seasonally saturated soil conditions for growth or reproduction. These areas include swamps, marshes, bogs, sloughs, wet meadows, mudflats, sandflats, ponds, lakes, and similar areas.</w:t>
      </w:r>
    </w:p>
    <w:p>
      <w:pPr>
        <w:spacing w:before="0" w:after="0"/>
        <w:ind w:left="120"/>
        <w:jc w:val="both"/>
      </w:pPr>
      <w:r>
        <w:rPr>
          <w:rFonts w:ascii="Times New Roman" w:hAnsi="Times New Roman"/>
          <w:b/>
          <w:i w:val="false"/>
          <w:color w:val="000000"/>
          <w:sz w:val="22"/>
        </w:rPr>
        <w:t>567—152.3</w:t>
      </w:r>
      <w:r>
        <w:rPr>
          <w:rFonts w:ascii="Times New Roman" w:hAnsi="Times New Roman"/>
          <w:b/>
          <w:i w:val="false"/>
          <w:color w:val="000000"/>
          <w:sz w:val="22"/>
        </w:rPr>
        <w:t xml:space="preserve">(455B) </w:t>
      </w:r>
      <w:r>
        <w:rPr>
          <w:rFonts w:ascii="Times New Roman" w:hAnsi="Times New Roman"/>
          <w:b/>
          <w:i w:val="false"/>
          <w:color w:val="000000"/>
          <w:sz w:val="22"/>
        </w:rPr>
        <w:t xml:space="preserve">Siting criteria. </w:t>
      </w:r>
      <w:r>
        <w:rPr>
          <w:rFonts w:ascii="Times New Roman" w:hAnsi="Times New Roman"/>
          <w:b w:val="false"/>
          <w:i w:val="false"/>
          <w:color w:val="000000"/>
          <w:sz w:val="22"/>
        </w:rPr>
        <w:t>The siting authority shall use the following criteria in selecting sites for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152.3(1)</w:t>
      </w:r>
      <w:r>
        <w:rPr>
          <w:rFonts w:ascii="Times New Roman" w:hAnsi="Times New Roman"/>
          <w:b w:val="false"/>
          <w:i w:val="false"/>
          <w:color w:val="000000"/>
          <w:sz w:val="22"/>
        </w:rPr>
        <w:t> </w:t>
      </w:r>
      <w:r>
        <w:rPr>
          <w:rFonts w:ascii="Times New Roman" w:hAnsi="Times New Roman"/>
          <w:b w:val="false"/>
          <w:i/>
          <w:color w:val="000000"/>
          <w:sz w:val="22"/>
        </w:rPr>
        <w:t xml:space="preserve">Exclusionary criteria. </w:t>
      </w:r>
      <w:r>
        <w:rPr>
          <w:rFonts w:ascii="Times New Roman" w:hAnsi="Times New Roman"/>
          <w:b w:val="false"/>
          <w:i w:val="false"/>
          <w:color w:val="000000"/>
          <w:sz w:val="22"/>
        </w:rPr>
        <w:t>No facility shall be sited within: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area of seismic risk category of “4” or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100-year floodplain;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dam hazard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area with less than 100 feet of aquitard between the base of operation and the subjacent aquifer;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One mile of a geologic hazard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One mile of a karst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One mile of an area of past or present surface or underground mining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One mile of wetland;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protected basin;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Ten miles of any nuclear power plant.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152.3(2)</w:t>
      </w:r>
      <w:r>
        <w:rPr>
          <w:rFonts w:ascii="Times New Roman" w:hAnsi="Times New Roman"/>
          <w:b w:val="false"/>
          <w:i w:val="false"/>
          <w:color w:val="000000"/>
          <w:sz w:val="22"/>
        </w:rPr>
        <w:t> </w:t>
      </w:r>
      <w:r>
        <w:rPr>
          <w:rFonts w:ascii="Times New Roman" w:hAnsi="Times New Roman"/>
          <w:b w:val="false"/>
          <w:i/>
          <w:color w:val="000000"/>
          <w:sz w:val="22"/>
        </w:rPr>
        <w:t xml:space="preserve">Quantitative criteria. </w:t>
      </w:r>
      <w:r>
        <w:rPr>
          <w:rFonts w:ascii="Times New Roman" w:hAnsi="Times New Roman"/>
          <w:b w:val="false"/>
          <w:i w:val="false"/>
          <w:color w:val="000000"/>
          <w:sz w:val="22"/>
        </w:rPr>
        <w:t>The quantitative criteria and corresponding values which are to be applied are in Table 1 as follows:</w:t>
      </w:r>
    </w:p>
    <w:tbl>
      <w:tblPr>
        <w:tblW w:w="5000" w:type="pct"/>
        <w:tblCellSpacing w:w="0" w:type="auto"/>
        <w:tblBorders>
          <w:top w:val="none"/>
          <w:left w:val="none"/>
          <w:bottom w:val="none"/>
          <w:right w:val="none"/>
          <w:insideH w:val="none"/>
          <w:insideV w:val="none"/>
        </w:tblBorders>
        <w:tblLayout w:type="fixed"/>
      </w:tblPr>
      <w:tblGrid>
        <w:gridCol w:w="2702"/>
        <w:gridCol w:w="3374"/>
        <w:gridCol w:w="3373"/>
        <w:gridCol w:w="1741"/>
      </w:tblGrid>
      <w:tr>
        <w:trPr>
          <w:trHeight w:val="210" w:hRule="atLeast"/>
        </w:trPr>
        <w:tc>
          <w:tcPr>
            <w:tcW w:w="0" w:type="auto"/>
            <w:gridSpan w:val="4"/>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Table 1</w:t>
            </w:r>
          </w:p>
        </w:tc>
      </w:tr>
      <w:tr>
        <w:trPr>
          <w:trHeight w:val="225" w:hRule="atLeast"/>
        </w:trPr>
        <w:tc>
          <w:tcPr>
            <w:tcW w:w="27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Value Assigned</w:t>
            </w:r>
          </w:p>
        </w:tc>
      </w:tr>
      <w:tr>
        <w:trPr>
          <w:trHeight w:val="225" w:hRule="atLeast"/>
        </w:trPr>
        <w:tc>
          <w:tcPr>
            <w:tcW w:w="27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5 points</w:t>
            </w:r>
          </w:p>
        </w:tc>
        <w:tc>
          <w:tcPr>
            <w:tcW w:w="33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2 points</w:t>
            </w:r>
          </w:p>
        </w:tc>
        <w:tc>
          <w:tcPr>
            <w:tcW w:w="17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Excluded</w:t>
            </w:r>
          </w:p>
        </w:tc>
      </w:tr>
      <w:tr>
        <w:trPr>
          <w:trHeight w:val="390" w:hRule="atLeast"/>
        </w:trPr>
        <w:tc>
          <w:tcPr>
            <w:tcW w:w="27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Mineral and Energy Resources</w:t>
            </w:r>
          </w:p>
        </w:tc>
        <w:tc>
          <w:tcPr>
            <w:tcW w:w="33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 significance present</w:t>
            </w:r>
          </w:p>
          <w:p>
            <w:pPr>
              <w:spacing w:before="0" w:after="0"/>
              <w:ind w:left="160"/>
              <w:jc w:val="left"/>
            </w:pPr>
            <w:r>
              <w:rPr>
                <w:rFonts w:ascii="Times New Roman" w:hAnsi="Times New Roman"/>
                <w:b w:val="false"/>
                <w:i w:val="false"/>
                <w:color w:val="000000"/>
                <w:sz w:val="16"/>
              </w:rPr>
              <w:t>within one mile</w:t>
            </w:r>
          </w:p>
        </w:tc>
        <w:tc>
          <w:tcPr>
            <w:tcW w:w="33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Significant presence with perpetual ban on recovery</w:t>
            </w:r>
          </w:p>
        </w:tc>
        <w:tc>
          <w:tcPr>
            <w:tcW w:w="17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r>
      <w:tr>
        <w:trPr>
          <w:trHeight w:val="210" w:hRule="atLeast"/>
        </w:trPr>
        <w:tc>
          <w:tcPr>
            <w:tcW w:w="27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570" w:hRule="atLeast"/>
        </w:trPr>
        <w:tc>
          <w:tcPr>
            <w:tcW w:w="27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Drinking Water</w:t>
            </w:r>
          </w:p>
          <w:p>
            <w:pPr>
              <w:spacing w:before="0" w:after="0"/>
              <w:ind w:left="160"/>
              <w:jc w:val="left"/>
            </w:pPr>
            <w:r>
              <w:rPr>
                <w:rFonts w:ascii="Times New Roman" w:hAnsi="Times New Roman"/>
                <w:b w:val="false"/>
                <w:i w:val="false"/>
                <w:color w:val="000000"/>
                <w:sz w:val="16"/>
              </w:rPr>
              <w:t>Sources</w:t>
            </w:r>
          </w:p>
        </w:tc>
        <w:tc>
          <w:tcPr>
            <w:tcW w:w="33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 sources within one</w:t>
            </w:r>
          </w:p>
          <w:p>
            <w:pPr>
              <w:spacing w:before="0" w:after="0"/>
              <w:ind w:left="160"/>
              <w:jc w:val="left"/>
            </w:pPr>
            <w:r>
              <w:rPr>
                <w:rFonts w:ascii="Times New Roman" w:hAnsi="Times New Roman"/>
                <w:b w:val="false"/>
                <w:i w:val="false"/>
                <w:color w:val="000000"/>
                <w:sz w:val="16"/>
              </w:rPr>
              <w:t>mile</w:t>
            </w:r>
          </w:p>
        </w:tc>
        <w:tc>
          <w:tcPr>
            <w:tcW w:w="337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Source permanently</w:t>
            </w:r>
          </w:p>
          <w:p>
            <w:pPr>
              <w:spacing w:before="0" w:after="0"/>
              <w:ind w:left="160"/>
              <w:jc w:val="left"/>
            </w:pPr>
            <w:r>
              <w:rPr>
                <w:rFonts w:ascii="Times New Roman" w:hAnsi="Times New Roman"/>
                <w:b w:val="false"/>
                <w:i w:val="false"/>
                <w:color w:val="000000"/>
                <w:sz w:val="16"/>
              </w:rPr>
              <w:t>closed and alternative</w:t>
            </w:r>
          </w:p>
          <w:p>
            <w:pPr>
              <w:spacing w:before="0" w:after="0"/>
              <w:ind w:left="160"/>
              <w:jc w:val="left"/>
            </w:pPr>
            <w:r>
              <w:rPr>
                <w:rFonts w:ascii="Times New Roman" w:hAnsi="Times New Roman"/>
                <w:b w:val="false"/>
                <w:i w:val="false"/>
                <w:color w:val="000000"/>
                <w:sz w:val="16"/>
              </w:rPr>
              <w:t>water source provided</w:t>
            </w:r>
          </w:p>
        </w:tc>
        <w:tc>
          <w:tcPr>
            <w:tcW w:w="17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r>
      <w:tr>
        <w:trPr>
          <w:trHeight w:val="210" w:hRule="atLeast"/>
        </w:trPr>
        <w:tc>
          <w:tcPr>
            <w:tcW w:w="27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27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Critical Wildlife</w:t>
            </w:r>
          </w:p>
          <w:p>
            <w:pPr>
              <w:spacing w:before="0" w:after="0"/>
              <w:ind w:left="160"/>
              <w:jc w:val="left"/>
            </w:pPr>
            <w:r>
              <w:rPr>
                <w:rFonts w:ascii="Times New Roman" w:hAnsi="Times New Roman"/>
                <w:b w:val="false"/>
                <w:i w:val="false"/>
                <w:color w:val="000000"/>
                <w:sz w:val="16"/>
              </w:rPr>
              <w:t>Habitats</w:t>
            </w:r>
          </w:p>
        </w:tc>
        <w:tc>
          <w:tcPr>
            <w:tcW w:w="33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 habitat within one</w:t>
            </w:r>
          </w:p>
          <w:p>
            <w:pPr>
              <w:spacing w:before="0" w:after="0"/>
              <w:ind w:left="160"/>
              <w:jc w:val="left"/>
            </w:pPr>
            <w:r>
              <w:rPr>
                <w:rFonts w:ascii="Times New Roman" w:hAnsi="Times New Roman"/>
                <w:b w:val="false"/>
                <w:i w:val="false"/>
                <w:color w:val="000000"/>
                <w:sz w:val="16"/>
              </w:rPr>
              <w:t>mile</w:t>
            </w:r>
          </w:p>
        </w:tc>
        <w:tc>
          <w:tcPr>
            <w:tcW w:w="337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Permanent buffer and no</w:t>
            </w:r>
          </w:p>
          <w:p>
            <w:pPr>
              <w:spacing w:before="0" w:after="0"/>
              <w:ind w:left="160"/>
              <w:jc w:val="left"/>
            </w:pPr>
            <w:r>
              <w:rPr>
                <w:rFonts w:ascii="Times New Roman" w:hAnsi="Times New Roman"/>
                <w:b w:val="false"/>
                <w:i w:val="false"/>
                <w:color w:val="000000"/>
                <w:sz w:val="16"/>
              </w:rPr>
              <w:t>interference</w:t>
            </w:r>
          </w:p>
        </w:tc>
        <w:tc>
          <w:tcPr>
            <w:tcW w:w="17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Interference</w:t>
            </w:r>
          </w:p>
        </w:tc>
      </w:tr>
      <w:tr>
        <w:trPr>
          <w:trHeight w:val="210" w:hRule="atLeast"/>
        </w:trPr>
        <w:tc>
          <w:tcPr>
            <w:tcW w:w="27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27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Conservation Areas</w:t>
            </w:r>
          </w:p>
        </w:tc>
        <w:tc>
          <w:tcPr>
            <w:tcW w:w="3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area within one mile</w:t>
            </w:r>
          </w:p>
        </w:tc>
        <w:tc>
          <w:tcPr>
            <w:tcW w:w="337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Permanent buffer and no</w:t>
            </w:r>
          </w:p>
          <w:p>
            <w:pPr>
              <w:spacing w:before="0" w:after="0"/>
              <w:ind w:left="160"/>
              <w:jc w:val="left"/>
            </w:pPr>
            <w:r>
              <w:rPr>
                <w:rFonts w:ascii="Times New Roman" w:hAnsi="Times New Roman"/>
                <w:b w:val="false"/>
                <w:i w:val="false"/>
                <w:color w:val="000000"/>
                <w:sz w:val="16"/>
              </w:rPr>
              <w:t>interference</w:t>
            </w:r>
          </w:p>
        </w:tc>
        <w:tc>
          <w:tcPr>
            <w:tcW w:w="17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Interference</w:t>
            </w:r>
          </w:p>
        </w:tc>
      </w:tr>
      <w:tr>
        <w:trPr>
          <w:trHeight w:val="210" w:hRule="atLeast"/>
        </w:trPr>
        <w:tc>
          <w:tcPr>
            <w:tcW w:w="27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27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Cultural Areas</w:t>
            </w:r>
          </w:p>
        </w:tc>
        <w:tc>
          <w:tcPr>
            <w:tcW w:w="3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area within one mile</w:t>
            </w:r>
          </w:p>
        </w:tc>
        <w:tc>
          <w:tcPr>
            <w:tcW w:w="337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Permanent buffer and no</w:t>
            </w:r>
          </w:p>
          <w:p>
            <w:pPr>
              <w:spacing w:before="0" w:after="0"/>
              <w:ind w:left="160"/>
              <w:jc w:val="left"/>
            </w:pPr>
            <w:r>
              <w:rPr>
                <w:rFonts w:ascii="Times New Roman" w:hAnsi="Times New Roman"/>
                <w:b w:val="false"/>
                <w:i w:val="false"/>
                <w:color w:val="000000"/>
                <w:sz w:val="16"/>
              </w:rPr>
              <w:t>interference</w:t>
            </w:r>
          </w:p>
        </w:tc>
        <w:tc>
          <w:tcPr>
            <w:tcW w:w="17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Interference</w:t>
            </w:r>
          </w:p>
        </w:tc>
      </w:tr>
      <w:tr>
        <w:trPr>
          <w:trHeight w:val="210" w:hRule="atLeast"/>
        </w:trPr>
        <w:tc>
          <w:tcPr>
            <w:tcW w:w="27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27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Population Areas</w:t>
            </w:r>
          </w:p>
        </w:tc>
        <w:tc>
          <w:tcPr>
            <w:tcW w:w="3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area within one mile</w:t>
            </w:r>
          </w:p>
        </w:tc>
        <w:tc>
          <w:tcPr>
            <w:tcW w:w="337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Permanent buffer and no</w:t>
            </w:r>
          </w:p>
          <w:p>
            <w:pPr>
              <w:spacing w:before="0" w:after="0"/>
              <w:ind w:left="160"/>
              <w:jc w:val="left"/>
            </w:pPr>
            <w:r>
              <w:rPr>
                <w:rFonts w:ascii="Times New Roman" w:hAnsi="Times New Roman"/>
                <w:b w:val="false"/>
                <w:i w:val="false"/>
                <w:color w:val="000000"/>
                <w:sz w:val="16"/>
              </w:rPr>
              <w:t>interference</w:t>
            </w:r>
          </w:p>
        </w:tc>
        <w:tc>
          <w:tcPr>
            <w:tcW w:w="17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Interference</w:t>
            </w:r>
          </w:p>
        </w:tc>
      </w:tr>
      <w:tr>
        <w:trPr>
          <w:trHeight w:val="210" w:hRule="atLeast"/>
        </w:trPr>
        <w:tc>
          <w:tcPr>
            <w:tcW w:w="27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27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Prime Farmland</w:t>
            </w:r>
          </w:p>
        </w:tc>
        <w:tc>
          <w:tcPr>
            <w:tcW w:w="33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than 25% prime</w:t>
            </w:r>
          </w:p>
          <w:p>
            <w:pPr>
              <w:spacing w:before="0" w:after="0"/>
              <w:ind w:left="160"/>
              <w:jc w:val="left"/>
            </w:pPr>
            <w:r>
              <w:rPr>
                <w:rFonts w:ascii="Times New Roman" w:hAnsi="Times New Roman"/>
                <w:b w:val="false"/>
                <w:i w:val="false"/>
                <w:color w:val="000000"/>
                <w:sz w:val="16"/>
              </w:rPr>
              <w:t>farmland</w:t>
            </w:r>
          </w:p>
        </w:tc>
        <w:tc>
          <w:tcPr>
            <w:tcW w:w="337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More than 25% prime</w:t>
            </w:r>
          </w:p>
          <w:p>
            <w:pPr>
              <w:spacing w:before="0" w:after="0"/>
              <w:ind w:left="160"/>
              <w:jc w:val="left"/>
            </w:pPr>
            <w:r>
              <w:rPr>
                <w:rFonts w:ascii="Times New Roman" w:hAnsi="Times New Roman"/>
                <w:b w:val="false"/>
                <w:i w:val="false"/>
                <w:color w:val="000000"/>
                <w:sz w:val="16"/>
              </w:rPr>
              <w:t>farmland</w:t>
            </w:r>
          </w:p>
        </w:tc>
        <w:tc>
          <w:tcPr>
            <w:tcW w:w="17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r>
      <w:tr>
        <w:trPr>
          <w:trHeight w:val="210" w:hRule="atLeast"/>
        </w:trPr>
        <w:tc>
          <w:tcPr>
            <w:tcW w:w="27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27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Nonattainment</w:t>
            </w:r>
          </w:p>
          <w:p>
            <w:pPr>
              <w:spacing w:before="0" w:after="0"/>
              <w:ind w:left="160"/>
              <w:jc w:val="left"/>
            </w:pPr>
            <w:r>
              <w:rPr>
                <w:rFonts w:ascii="Times New Roman" w:hAnsi="Times New Roman"/>
                <w:b w:val="false"/>
                <w:i w:val="false"/>
                <w:color w:val="000000"/>
                <w:sz w:val="16"/>
              </w:rPr>
              <w:t>With NAAQS</w:t>
            </w:r>
          </w:p>
        </w:tc>
        <w:tc>
          <w:tcPr>
            <w:tcW w:w="33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 significant impact</w:t>
            </w:r>
          </w:p>
          <w:p>
            <w:pPr>
              <w:spacing w:before="0" w:after="0"/>
              <w:ind w:left="160"/>
              <w:jc w:val="left"/>
            </w:pPr>
            <w:r>
              <w:rPr>
                <w:rFonts w:ascii="Times New Roman" w:hAnsi="Times New Roman"/>
                <w:b w:val="false"/>
                <w:i w:val="false"/>
                <w:color w:val="000000"/>
                <w:sz w:val="16"/>
              </w:rPr>
              <w:t>predicted</w:t>
            </w:r>
          </w:p>
        </w:tc>
        <w:tc>
          <w:tcPr>
            <w:tcW w:w="337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Little significant impact</w:t>
            </w:r>
          </w:p>
          <w:p>
            <w:pPr>
              <w:spacing w:before="0" w:after="0"/>
              <w:ind w:left="160"/>
              <w:jc w:val="left"/>
            </w:pPr>
            <w:r>
              <w:rPr>
                <w:rFonts w:ascii="Times New Roman" w:hAnsi="Times New Roman"/>
                <w:b w:val="false"/>
                <w:i w:val="false"/>
                <w:color w:val="000000"/>
                <w:sz w:val="16"/>
              </w:rPr>
              <w:t>predicted</w:t>
            </w:r>
          </w:p>
        </w:tc>
        <w:tc>
          <w:tcPr>
            <w:tcW w:w="17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r>
      <w:tr>
        <w:trPr>
          <w:trHeight w:val="210" w:hRule="atLeast"/>
        </w:trPr>
        <w:tc>
          <w:tcPr>
            <w:tcW w:w="27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675" w:hRule="atLeast"/>
        </w:trPr>
        <w:tc>
          <w:tcPr>
            <w:tcW w:w="27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Prevention of</w:t>
            </w:r>
          </w:p>
          <w:p>
            <w:pPr>
              <w:spacing w:before="0" w:after="0"/>
              <w:ind w:left="160"/>
              <w:jc w:val="left"/>
            </w:pPr>
            <w:r>
              <w:rPr>
                <w:rFonts w:ascii="Times New Roman" w:hAnsi="Times New Roman"/>
                <w:b w:val="false"/>
                <w:i w:val="false"/>
                <w:color w:val="000000"/>
                <w:sz w:val="16"/>
              </w:rPr>
              <w:t>Significant</w:t>
            </w:r>
          </w:p>
          <w:p>
            <w:pPr>
              <w:spacing w:before="0" w:after="0"/>
              <w:ind w:left="160"/>
              <w:jc w:val="left"/>
            </w:pPr>
            <w:r>
              <w:rPr>
                <w:rFonts w:ascii="Times New Roman" w:hAnsi="Times New Roman"/>
                <w:b w:val="false"/>
                <w:i w:val="false"/>
                <w:color w:val="000000"/>
                <w:sz w:val="16"/>
              </w:rPr>
              <w:t>Deterioration</w:t>
            </w:r>
          </w:p>
        </w:tc>
        <w:tc>
          <w:tcPr>
            <w:tcW w:w="33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Good data available and</w:t>
            </w:r>
          </w:p>
          <w:p>
            <w:pPr>
              <w:spacing w:before="0" w:after="0"/>
              <w:ind w:left="160"/>
              <w:jc w:val="left"/>
            </w:pPr>
            <w:r>
              <w:rPr>
                <w:rFonts w:ascii="Times New Roman" w:hAnsi="Times New Roman"/>
                <w:b w:val="false"/>
                <w:i w:val="false"/>
                <w:color w:val="000000"/>
                <w:sz w:val="16"/>
              </w:rPr>
              <w:t>sufficient increments</w:t>
            </w:r>
          </w:p>
        </w:tc>
        <w:tc>
          <w:tcPr>
            <w:tcW w:w="337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Little data available but</w:t>
            </w:r>
          </w:p>
          <w:p>
            <w:pPr>
              <w:spacing w:before="0" w:after="0"/>
              <w:ind w:left="160"/>
              <w:jc w:val="left"/>
            </w:pPr>
            <w:r>
              <w:rPr>
                <w:rFonts w:ascii="Times New Roman" w:hAnsi="Times New Roman"/>
                <w:b w:val="false"/>
                <w:i w:val="false"/>
                <w:color w:val="000000"/>
                <w:sz w:val="16"/>
              </w:rPr>
              <w:t>increment available</w:t>
            </w:r>
          </w:p>
        </w:tc>
        <w:tc>
          <w:tcPr>
            <w:tcW w:w="17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r>
      <w:tr>
        <w:trPr>
          <w:trHeight w:val="210" w:hRule="atLeast"/>
        </w:trPr>
        <w:tc>
          <w:tcPr>
            <w:tcW w:w="27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50" w:hRule="atLeast"/>
        </w:trPr>
        <w:tc>
          <w:tcPr>
            <w:tcW w:w="27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Transportation</w:t>
            </w:r>
          </w:p>
          <w:p>
            <w:pPr>
              <w:spacing w:before="0" w:after="0"/>
              <w:ind w:left="160"/>
              <w:jc w:val="left"/>
            </w:pPr>
            <w:r>
              <w:rPr>
                <w:rFonts w:ascii="Times New Roman" w:hAnsi="Times New Roman"/>
                <w:b w:val="false"/>
                <w:i w:val="false"/>
                <w:color w:val="000000"/>
                <w:sz w:val="16"/>
              </w:rPr>
              <w:t>Routes</w:t>
            </w:r>
          </w:p>
        </w:tc>
        <w:tc>
          <w:tcPr>
            <w:tcW w:w="33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Within 5 miles of major</w:t>
            </w:r>
          </w:p>
          <w:p>
            <w:pPr>
              <w:spacing w:before="0" w:after="0"/>
              <w:ind w:left="160"/>
              <w:jc w:val="left"/>
            </w:pPr>
            <w:r>
              <w:rPr>
                <w:rFonts w:ascii="Times New Roman" w:hAnsi="Times New Roman"/>
                <w:b w:val="false"/>
                <w:i w:val="false"/>
                <w:color w:val="000000"/>
                <w:sz w:val="16"/>
              </w:rPr>
              <w:t>highway, 10 miles of a</w:t>
            </w:r>
          </w:p>
          <w:p>
            <w:pPr>
              <w:spacing w:before="0" w:after="0"/>
              <w:ind w:left="160"/>
              <w:jc w:val="left"/>
            </w:pPr>
            <w:r>
              <w:rPr>
                <w:rFonts w:ascii="Times New Roman" w:hAnsi="Times New Roman"/>
                <w:b w:val="false"/>
                <w:i w:val="false"/>
                <w:color w:val="000000"/>
                <w:sz w:val="16"/>
              </w:rPr>
              <w:t>rail line, and 50 miles</w:t>
            </w:r>
          </w:p>
          <w:p>
            <w:pPr>
              <w:spacing w:before="0" w:after="0"/>
              <w:ind w:left="160"/>
              <w:jc w:val="left"/>
            </w:pPr>
            <w:r>
              <w:rPr>
                <w:rFonts w:ascii="Times New Roman" w:hAnsi="Times New Roman"/>
                <w:b w:val="false"/>
                <w:i w:val="false"/>
                <w:color w:val="000000"/>
                <w:sz w:val="16"/>
              </w:rPr>
              <w:t>of interstate highway</w:t>
            </w:r>
          </w:p>
        </w:tc>
        <w:tc>
          <w:tcPr>
            <w:tcW w:w="337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Beyond 5 miles from</w:t>
            </w:r>
          </w:p>
          <w:p>
            <w:pPr>
              <w:spacing w:before="0" w:after="0"/>
              <w:ind w:left="160"/>
              <w:jc w:val="left"/>
            </w:pPr>
            <w:r>
              <w:rPr>
                <w:rFonts w:ascii="Times New Roman" w:hAnsi="Times New Roman"/>
                <w:b w:val="false"/>
                <w:i w:val="false"/>
                <w:color w:val="000000"/>
                <w:sz w:val="16"/>
              </w:rPr>
              <w:t>major highway, 10 miles</w:t>
            </w:r>
          </w:p>
          <w:p>
            <w:pPr>
              <w:spacing w:before="0" w:after="0"/>
              <w:ind w:left="160"/>
              <w:jc w:val="left"/>
            </w:pPr>
            <w:r>
              <w:rPr>
                <w:rFonts w:ascii="Times New Roman" w:hAnsi="Times New Roman"/>
                <w:b w:val="false"/>
                <w:i w:val="false"/>
                <w:color w:val="000000"/>
                <w:sz w:val="16"/>
              </w:rPr>
              <w:t>of a rail line, or 50 miles</w:t>
            </w:r>
          </w:p>
          <w:p>
            <w:pPr>
              <w:spacing w:before="0" w:after="0"/>
              <w:ind w:left="160"/>
              <w:jc w:val="left"/>
            </w:pPr>
            <w:r>
              <w:rPr>
                <w:rFonts w:ascii="Times New Roman" w:hAnsi="Times New Roman"/>
                <w:b w:val="false"/>
                <w:i w:val="false"/>
                <w:color w:val="000000"/>
                <w:sz w:val="16"/>
              </w:rPr>
              <w:t>from interstate highway</w:t>
            </w:r>
          </w:p>
        </w:tc>
        <w:tc>
          <w:tcPr>
            <w:tcW w:w="17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r>
      <w:tr>
        <w:trPr>
          <w:trHeight w:val="210" w:hRule="atLeast"/>
        </w:trPr>
        <w:tc>
          <w:tcPr>
            <w:tcW w:w="27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27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Proximity to Major Generators</w:t>
            </w:r>
          </w:p>
        </w:tc>
        <w:tc>
          <w:tcPr>
            <w:tcW w:w="33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Within 50 miles of major</w:t>
            </w:r>
          </w:p>
          <w:p>
            <w:pPr>
              <w:spacing w:before="0" w:after="0"/>
              <w:ind w:left="160"/>
              <w:jc w:val="left"/>
            </w:pPr>
            <w:r>
              <w:rPr>
                <w:rFonts w:ascii="Times New Roman" w:hAnsi="Times New Roman"/>
                <w:b w:val="false"/>
                <w:i w:val="false"/>
                <w:color w:val="000000"/>
                <w:sz w:val="16"/>
              </w:rPr>
              <w:t>generators</w:t>
            </w:r>
          </w:p>
        </w:tc>
        <w:tc>
          <w:tcPr>
            <w:tcW w:w="337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Beyond 50 miles from</w:t>
            </w:r>
          </w:p>
          <w:p>
            <w:pPr>
              <w:spacing w:before="0" w:after="0"/>
              <w:ind w:left="160"/>
              <w:jc w:val="left"/>
            </w:pPr>
            <w:r>
              <w:rPr>
                <w:rFonts w:ascii="Times New Roman" w:hAnsi="Times New Roman"/>
                <w:b w:val="false"/>
                <w:i w:val="false"/>
                <w:color w:val="000000"/>
                <w:sz w:val="16"/>
              </w:rPr>
              <w:t>generators</w:t>
            </w:r>
          </w:p>
        </w:tc>
        <w:tc>
          <w:tcPr>
            <w:tcW w:w="17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r>
      <w:tr>
        <w:trPr>
          <w:trHeight w:val="210" w:hRule="atLeast"/>
        </w:trPr>
        <w:tc>
          <w:tcPr>
            <w:tcW w:w="27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27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Utilities and</w:t>
            </w:r>
          </w:p>
          <w:p>
            <w:pPr>
              <w:spacing w:before="0" w:after="0"/>
              <w:ind w:left="160"/>
              <w:jc w:val="left"/>
            </w:pPr>
            <w:r>
              <w:rPr>
                <w:rFonts w:ascii="Times New Roman" w:hAnsi="Times New Roman"/>
                <w:b w:val="false"/>
                <w:i w:val="false"/>
                <w:color w:val="000000"/>
                <w:sz w:val="16"/>
              </w:rPr>
              <w:t>Services</w:t>
            </w:r>
          </w:p>
        </w:tc>
        <w:tc>
          <w:tcPr>
            <w:tcW w:w="33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Accessible services</w:t>
            </w:r>
          </w:p>
          <w:p>
            <w:pPr>
              <w:spacing w:before="0" w:after="0"/>
              <w:ind w:left="160"/>
              <w:jc w:val="left"/>
            </w:pPr>
            <w:r>
              <w:rPr>
                <w:rFonts w:ascii="Times New Roman" w:hAnsi="Times New Roman"/>
                <w:b w:val="false"/>
                <w:i w:val="false"/>
                <w:color w:val="000000"/>
                <w:sz w:val="16"/>
              </w:rPr>
              <w:t>available</w:t>
            </w:r>
          </w:p>
        </w:tc>
        <w:tc>
          <w:tcPr>
            <w:tcW w:w="337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Sites needing services</w:t>
            </w:r>
          </w:p>
          <w:p>
            <w:pPr>
              <w:spacing w:before="0" w:after="0"/>
              <w:ind w:left="160"/>
              <w:jc w:val="left"/>
            </w:pPr>
            <w:r>
              <w:rPr>
                <w:rFonts w:ascii="Times New Roman" w:hAnsi="Times New Roman"/>
                <w:b w:val="false"/>
                <w:i w:val="false"/>
                <w:color w:val="000000"/>
                <w:sz w:val="16"/>
              </w:rPr>
              <w:t>extended</w:t>
            </w:r>
          </w:p>
        </w:tc>
        <w:tc>
          <w:tcPr>
            <w:tcW w:w="17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152.3(3)</w:t>
      </w:r>
      <w:r>
        <w:rPr>
          <w:rFonts w:ascii="Times New Roman" w:hAnsi="Times New Roman"/>
          <w:b w:val="false"/>
          <w:i w:val="false"/>
          <w:color w:val="000000"/>
          <w:sz w:val="22"/>
        </w:rPr>
        <w:t> </w:t>
      </w:r>
      <w:r>
        <w:rPr>
          <w:rFonts w:ascii="Times New Roman" w:hAnsi="Times New Roman"/>
          <w:b w:val="false"/>
          <w:i/>
          <w:color w:val="000000"/>
          <w:sz w:val="22"/>
        </w:rPr>
        <w:t xml:space="preserve">Methodology. </w:t>
      </w:r>
      <w:r>
        <w:rPr>
          <w:rFonts w:ascii="Times New Roman" w:hAnsi="Times New Roman"/>
          <w:b w:val="false"/>
          <w:i w:val="false"/>
          <w:color w:val="000000"/>
          <w:sz w:val="22"/>
        </w:rPr>
        <w:t>The methodology to be used by the siting authority in applying these criteria is contained in the report “Hazardous Waste Management Facility Siting Criteria and Methodology, August 1987” which is adopted by reference. The criteria listed in this rule shall be applied in three steps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Step 1. The exclusionary criteria shall be applied to the entire state. Step 2 shall be applied to those areas remaining.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Step 2. The quantitative criteria shall be applied to the nonexcluded areas identified in Step 1. The values in Table 1 shall be applied and the potential sites ranked in order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Step 3. The top rated potential sites shall be subject to detailed evaluation. The best site for the facility shall be selected.</w:t>
      </w:r>
    </w:p>
    <w:p>
      <w:pPr>
        <w:spacing w:before="0" w:after="0"/>
        <w:ind w:left="120"/>
        <w:jc w:val="center"/>
      </w:pPr>
      <w:r>
        <w:rPr>
          <w:rFonts w:ascii="Times New Roman" w:hAnsi="Times New Roman"/>
          <w:b w:val="false"/>
          <w:i w:val="false"/>
          <w:color w:val="000000"/>
          <w:sz w:val="21"/>
        </w:rPr>
        <w:t>[Filed 11/25/87, Notice 9/9/87—published 12/16/87, effective 1/20/88]</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486.pdf" Type="http://schemas.openxmlformats.org/officeDocument/2006/relationships/hyperlink" Id="rId5"/>
    <Relationship TargetMode="External" Target="https://www.legis.iowa.gov/docs/ico/chapter/455B.486.pdf" Type="http://schemas.openxmlformats.org/officeDocument/2006/relationships/hyperlink" Id="rId6"/>
    <Relationship TargetMode="External" Target="https://www.legis.iowa.gov/docs/ico/chapter/455B.482.pdf" Type="http://schemas.openxmlformats.org/officeDocument/2006/relationships/hyperlink" Id="rId7"/>
    <Relationship TargetMode="External" Target="https://www.legis.iowa.gov/docs/ico/chapter/462B.pdf" Type="http://schemas.openxmlformats.org/officeDocument/2006/relationships/hyperlink" Id="rId8"/>
    <Relationship TargetMode="External" Target="https://www.legis.iowa.gov/docs/iac/chapter/567.61.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