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FINANCIAL RESPONSIBILITY FOR UNDERGROUND STORAGE TANKS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567—136.1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owners and operators of all petroleum underground storage tank (UST) systems except as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petroleum UST systems are subject to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w:t>
      </w:r>
      <w:r>
        <w:rPr>
          <w:rFonts w:ascii="Times New Roman" w:hAnsi="Times New Roman"/>
          <w:b w:val="false"/>
          <w:i w:val="false"/>
          <w:color w:val="000000"/>
          <w:sz w:val="22"/>
        </w:rPr>
        <w:t> </w:t>
      </w:r>
      <w:r>
        <w:rPr>
          <w:rFonts w:ascii="Times New Roman" w:hAnsi="Times New Roman"/>
          <w:b w:val="false"/>
          <w:i w:val="false"/>
          <w:color w:val="000000"/>
          <w:sz w:val="22"/>
        </w:rPr>
        <w:t>State and federal government entities whose debts and liabilities are the debts and liabilities of a state or the United States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do not apply to owners and operators of farm or residential tanks of 1,100 gallons or less capacity installed prior to July 1, 1987, or any UST system described in 567—paragraph </w:t>
      </w:r>
      <w:hyperlink r:id="rId5">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subparagraph </w:t>
      </w:r>
      <w:hyperlink r:id="rId6">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(1), (3) or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w:t>
      </w:r>
      <w:r>
        <w:rPr>
          <w:rFonts w:ascii="Times New Roman" w:hAnsi="Times New Roman"/>
          <w:b w:val="false"/>
          <w:i w:val="false"/>
          <w:color w:val="000000"/>
          <w:sz w:val="22"/>
        </w:rPr>
        <w:t> </w:t>
      </w:r>
      <w:r>
        <w:rPr>
          <w:rFonts w:ascii="Times New Roman" w:hAnsi="Times New Roman"/>
          <w:b w:val="false"/>
          <w:i w:val="false"/>
          <w:color w:val="000000"/>
          <w:sz w:val="22"/>
        </w:rPr>
        <w:t>If the owner and operator of a petroleum underground storage tank are separate persons, only one person is required to demonstrate financial responsibility; however, both parties are liable in event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567—136.2</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dates.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4/17/02</w:t>
      </w:r>
      <w:r>
        <w:rPr>
          <w:rFonts w:ascii="Times New Roman" w:hAnsi="Times New Roman"/>
          <w:b w:val="false"/>
          <w:i w:val="false"/>
          <w:color w:val="000000"/>
          <w:sz w:val="22"/>
        </w:rPr>
        <w:t>, effective 5/22/02.</w:t>
      </w:r>
    </w:p>
    <w:p>
      <w:pPr>
        <w:spacing w:before="0" w:after="0"/>
        <w:ind w:left="120"/>
        <w:jc w:val="both"/>
      </w:pPr>
      <w:r>
        <w:rPr>
          <w:rFonts w:ascii="Times New Roman" w:hAnsi="Times New Roman"/>
          <w:b/>
          <w:i w:val="false"/>
          <w:color w:val="000000"/>
          <w:sz w:val="22"/>
        </w:rPr>
        <w:t>567—136.3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 of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“Accidental release” </w:t>
      </w:r>
      <w:r>
        <w:rPr>
          <w:rFonts w:ascii="Times New Roman" w:hAnsi="Times New Roman"/>
          <w:b w:val="false"/>
          <w:i w:val="false"/>
          <w:color w:val="000000"/>
          <w:sz w:val="22"/>
        </w:rPr>
        <w:t>means any sudden or nonsudden release of petroleum arising from operating an underground storage tank that results in a need for corrective action and/or compensation for bodily injury or property damage neither expected nor intended by the tank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“Bodily injury” </w:t>
      </w:r>
      <w:r>
        <w:rPr>
          <w:rFonts w:ascii="Times New Roman" w:hAnsi="Times New Roman"/>
          <w:b w:val="false"/>
          <w:i w:val="false"/>
          <w:color w:val="000000"/>
          <w:sz w:val="22"/>
        </w:rPr>
        <w:t>shall have the meaning given to this term by applicable state law; however, this term shall not include those liabilities which, consistent with standard insurance industry practices, are excluded from coverage in liability insurance policies for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financial officer,” </w:t>
      </w:r>
      <w:r>
        <w:rPr>
          <w:rFonts w:ascii="Times New Roman" w:hAnsi="Times New Roman"/>
          <w:b w:val="false"/>
          <w:i w:val="false"/>
          <w:color w:val="000000"/>
          <w:sz w:val="22"/>
        </w:rPr>
        <w:t>in the case of local government owners and operators, means the individual with the overall authority and responsibility for the collection, disbursement, and use of funds by the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interest” </w:t>
      </w:r>
      <w:r>
        <w:rPr>
          <w:rFonts w:ascii="Times New Roman" w:hAnsi="Times New Roman"/>
          <w:b w:val="false"/>
          <w:i w:val="false"/>
          <w:color w:val="000000"/>
          <w:sz w:val="22"/>
        </w:rPr>
        <w:t>means direct ownership of at least 50 percent of the voting stock of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natural resources or local agency responsible for carrying out an approved UST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reporting year” </w:t>
      </w:r>
      <w:r>
        <w:rPr>
          <w:rFonts w:ascii="Times New Roman" w:hAnsi="Times New Roman"/>
          <w:b w:val="false"/>
          <w:i w:val="false"/>
          <w:color w:val="000000"/>
          <w:sz w:val="22"/>
        </w:rPr>
        <w:t>means the latest consecutive 12-month period for which any of the following reports used to support a financial test is prepared: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10-K report submitted to the SEC;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annual report of tangible net worth submitted to Dun and Bradstreet;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reports submitted to the Energy Information Administration or the Rural Utilities Service.</w:t>
      </w:r>
    </w:p>
    <w:p>
      <w:pPr>
        <w:spacing w:before="0" w:after="0"/>
        <w:ind w:left="120"/>
        <w:jc w:val="both"/>
      </w:pPr>
      <w:r>
        <w:rPr>
          <w:rFonts w:ascii="Times New Roman" w:hAnsi="Times New Roman"/>
          <w:b w:val="false"/>
          <w:i w:val="false"/>
          <w:color w:val="000000"/>
          <w:sz w:val="22"/>
        </w:rPr>
        <w:t>“Financial reporting year” may thus comprise a fiscal- or a calendar-year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defense cost” </w:t>
      </w:r>
      <w:r>
        <w:rPr>
          <w:rFonts w:ascii="Times New Roman" w:hAnsi="Times New Roman"/>
          <w:b w:val="false"/>
          <w:i w:val="false"/>
          <w:color w:val="000000"/>
          <w:sz w:val="22"/>
        </w:rPr>
        <w:t>is any expense that an owner or operator or provider of financial assurance incurs in defending against claims or actions brought;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EPA or a state to require corrective action or to recover the costs of corrective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or on behalf of a third party for bodily injury or property damage caused by an accidental release;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By any person to enforce the terms of a financial assurance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government” </w:t>
      </w:r>
      <w:r>
        <w:rPr>
          <w:rFonts w:ascii="Times New Roman" w:hAnsi="Times New Roman"/>
          <w:b w:val="false"/>
          <w:i w:val="false"/>
          <w:color w:val="000000"/>
          <w:sz w:val="22"/>
        </w:rPr>
        <w:t>means counties, municipalities, townships, separately chartered and operated special districts (including local government public transit systems and redevelopment authorities), and independent school districts authorized as governmental bodies by state charter or constitution and special districts and independent school districts established by counties, municipalities, townships, and other general purpose governments to provide essential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“Occurrence” </w:t>
      </w:r>
      <w:r>
        <w:rPr>
          <w:rFonts w:ascii="Times New Roman" w:hAnsi="Times New Roman"/>
          <w:b w:val="false"/>
          <w:i w:val="false"/>
          <w:color w:val="000000"/>
          <w:sz w:val="22"/>
        </w:rPr>
        <w:t>means an accident, including continuous or repeated exposure to conditions, which results in a release from an underground storage tank.</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This definition is intended to assist in the understanding of these rules and is not intended either to limit the meaning of “occurrence” in a way that conflicts with standard insurance usage or to prevent the use of other standard insurance terms in place of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or operator,” </w:t>
      </w:r>
      <w:r>
        <w:rPr>
          <w:rFonts w:ascii="Times New Roman" w:hAnsi="Times New Roman"/>
          <w:b w:val="false"/>
          <w:i w:val="false"/>
          <w:color w:val="000000"/>
          <w:sz w:val="22"/>
        </w:rPr>
        <w:t>when the owner or operator are separate parties, refers to the party that is obtaining or has obtained financial assurances.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“Petroleum marketing facilities” </w:t>
      </w:r>
      <w:r>
        <w:rPr>
          <w:rFonts w:ascii="Times New Roman" w:hAnsi="Times New Roman"/>
          <w:b w:val="false"/>
          <w:i w:val="false"/>
          <w:color w:val="000000"/>
          <w:sz w:val="22"/>
        </w:rPr>
        <w:t>include all facilities at which petroleum is produced or refined and all facilities from which petroleum is sold or transferred to other petroleum marketers or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damage” </w:t>
      </w:r>
      <w:r>
        <w:rPr>
          <w:rFonts w:ascii="Times New Roman" w:hAnsi="Times New Roman"/>
          <w:b w:val="false"/>
          <w:i w:val="false"/>
          <w:color w:val="000000"/>
          <w:sz w:val="22"/>
        </w:rPr>
        <w:t>shall have the meaning given this term by applicable state law. This term shall not include those liabilities which, consistent with standard insurance industry practices, are excluded from coverage in liability insurance policies for property damage. However, such exclusions for property damage shall not include corrective action associated with releases from tanks which are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of financial assurance” </w:t>
      </w:r>
      <w:r>
        <w:rPr>
          <w:rFonts w:ascii="Times New Roman" w:hAnsi="Times New Roman"/>
          <w:b w:val="false"/>
          <w:i w:val="false"/>
          <w:color w:val="000000"/>
          <w:sz w:val="22"/>
        </w:rPr>
        <w:t>means an entity that provides financial assurance to an owner or operator of an underground storage tank through one of the mechanisms listed in rules 567—</w:t>
      </w:r>
      <w:hyperlink r:id="rId7">
        <w:r>
          <w:rPr>
            <w:rStyle w:val="Hyperlink"/>
            <w:rFonts w:ascii="Times New Roman" w:hAnsi="Times New Roman"/>
            <w:b w:val="false"/>
            <w:i w:val="false"/>
            <w:color w:val="000000"/>
            <w:sz w:val="22"/>
          </w:rPr>
          <w:t>136.6</w:t>
        </w:r>
      </w:hyperlink>
      <w:r>
        <w:rPr>
          <w:rFonts w:ascii="Times New Roman" w:hAnsi="Times New Roman"/>
          <w:b w:val="false"/>
          <w:i w:val="false"/>
          <w:color w:val="000000"/>
          <w:sz w:val="22"/>
        </w:rPr>
        <w:t>(455B) to 567—</w:t>
      </w:r>
      <w:hyperlink r:id="rId8">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including a guarantor, insurer, risk retention group, surety, issuer of a letter of credit, issuer of a state-required mechanism, or a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business relationship” </w:t>
      </w:r>
      <w:r>
        <w:rPr>
          <w:rFonts w:ascii="Times New Roman" w:hAnsi="Times New Roman"/>
          <w:b w:val="false"/>
          <w:i w:val="false"/>
          <w:color w:val="000000"/>
          <w:sz w:val="22"/>
        </w:rPr>
        <w:t>means the extent of a business relationship necessary under applicable state law to make a guarantee contract issued incident to that relationship valid and enforceable. A guarantee contract is issued “incident to that relationship” if it arises from and depends on existing economic transactions between the guarantor and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governmental relationship” </w:t>
      </w:r>
      <w:r>
        <w:rPr>
          <w:rFonts w:ascii="Times New Roman" w:hAnsi="Times New Roman"/>
          <w:b w:val="false"/>
          <w:i w:val="false"/>
          <w:color w:val="000000"/>
          <w:sz w:val="22"/>
        </w:rPr>
        <w:t>means the extent of a governmental relationship necessary under applicable state law to make an added guarantee contract issued incident to that relationship valid and enforceable. A guarantee contract is issued “incident to that relationship” if it arises from a clear commonality of interest in the event of UST release such as coterminous boundaries, overlapping constituencies, common groundwater aquifer, or other relationship other than monetary compensation that provides a motivation for the guarantor to provide a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“Tangible net worth” </w:t>
      </w:r>
      <w:r>
        <w:rPr>
          <w:rFonts w:ascii="Times New Roman" w:hAnsi="Times New Roman"/>
          <w:b w:val="false"/>
          <w:i w:val="false"/>
          <w:color w:val="000000"/>
          <w:sz w:val="22"/>
        </w:rPr>
        <w:t>means the tangible assets that remain after deducting liabilities; such assets do not include intangibles such as goodwill and rights to patents or royalties. For purposes of this definition, “assets” means all existing and all probable future economic benefits obtained or controlled by a particular entity as a result of past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under </w:t>
      </w:r>
      <w:hyperlink r:id="rId9">
        <w:r>
          <w:rPr>
            <w:rStyle w:val="Hyperlink"/>
            <w:rFonts w:ascii="Times New Roman" w:hAnsi="Times New Roman"/>
            <w:b w:val="false"/>
            <w:i w:val="false"/>
            <w:color w:val="000000"/>
            <w:sz w:val="22"/>
          </w:rPr>
          <w:t>136.8(2)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means only those changes that could result in a gap in coverage as where the insured has not obtained substitute coverage or has obtained substitute coverage with a different retroactive date than the retroactive date of the original policy date for compliance established in rule 567—</w:t>
      </w:r>
      <w:hyperlink r:id="rId10">
        <w:r>
          <w:rPr>
            <w:rStyle w:val="Hyperlink"/>
            <w:rFonts w:ascii="Times New Roman" w:hAnsi="Times New Roman"/>
            <w:b w:val="false"/>
            <w:i w:val="false"/>
            <w:color w:val="000000"/>
            <w:sz w:val="22"/>
          </w:rPr>
          <w:t>136.2</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567—136.4</w:t>
      </w:r>
      <w:r>
        <w:rPr>
          <w:rFonts w:ascii="Times New Roman" w:hAnsi="Times New Roman"/>
          <w:b/>
          <w:i w:val="false"/>
          <w:color w:val="000000"/>
          <w:sz w:val="22"/>
        </w:rPr>
        <w:t xml:space="preserve">(455B) </w:t>
      </w:r>
      <w:r>
        <w:rPr>
          <w:rFonts w:ascii="Times New Roman" w:hAnsi="Times New Roman"/>
          <w:b/>
          <w:i w:val="false"/>
          <w:color w:val="000000"/>
          <w:sz w:val="22"/>
        </w:rPr>
        <w:t xml:space="preserve">Amount and scope of required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136.4(1)</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petroleum underground storage tanks must demonstrate financial responsibility for taking corrective action and for compensating third parties for bodily injury and property damage caused by accidental releases arising from the operation of petroleum underground storage tanks in at least the following per-occurrence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owners or operators of petroleum underground storage tanks that are located at petroleum marketing facilities, or that handle an average of more than 10,000 gallons of petroleum per month based on annual throughput for the previous calendar year;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owners or operators of petroleum underground storage tanks; $500,000.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136.4(2)</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petroleum underground storage tanks must demonstrate financial responsibility for taking corrective action and for compensating third parties for bodily injury and property damage caused by accidental releases arising from the operation of petroleum underground storage tanks in at least the following annual aggregate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owners or operators of 1 to 100 petroleum underground storage tanks,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owners or operators of 101 or more petroleum underground storage tanks, $2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subrules </w:t>
      </w:r>
      <w:hyperlink r:id="rId11">
        <w:r>
          <w:rPr>
            <w:rStyle w:val="Hyperlink"/>
            <w:rFonts w:ascii="Times New Roman" w:hAnsi="Times New Roman"/>
            <w:b w:val="false"/>
            <w:i w:val="false"/>
            <w:color w:val="000000"/>
            <w:sz w:val="22"/>
          </w:rPr>
          <w:t>136.4(2)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136.4(6)</w:t>
        </w:r>
      </w:hyperlink>
      <w:r>
        <w:rPr>
          <w:rFonts w:ascii="Times New Roman" w:hAnsi="Times New Roman"/>
          <w:b w:val="false"/>
          <w:i w:val="false"/>
          <w:color w:val="000000"/>
          <w:sz w:val="22"/>
        </w:rPr>
        <w:t xml:space="preserve"> only, a petroleum underground storage tank means a single containment unit and does not mean combinations of single containment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3">
        <w:r>
          <w:rPr>
            <w:rStyle w:val="Hyperlink"/>
            <w:rFonts w:ascii="Times New Roman" w:hAnsi="Times New Roman"/>
            <w:b w:val="false"/>
            <w:i w:val="false"/>
            <w:color w:val="000000"/>
            <w:sz w:val="22"/>
          </w:rPr>
          <w:t>136.4(5)</w:t>
        </w:r>
      </w:hyperlink>
      <w:r>
        <w:rPr>
          <w:rFonts w:ascii="Times New Roman" w:hAnsi="Times New Roman"/>
          <w:b w:val="false"/>
          <w:i w:val="false"/>
          <w:color w:val="000000"/>
          <w:sz w:val="22"/>
        </w:rPr>
        <w:t>, if the owner or operator uses separate mechanisms or separate combinations of mechanisms to demonstrate financial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Compensating third parties for bodily injury and property damage caused by sudden accidental releases;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Compensating third parties for bodily injury and property damage caused by nonsudden accidental releases, the amount of assurance provided by each mechanism or combination of mechanisms must be in the full amount specified in subrules </w:t>
      </w:r>
      <w:hyperlink r:id="rId14">
        <w:r>
          <w:rPr>
            <w:rStyle w:val="Hyperlink"/>
            <w:rFonts w:ascii="Times New Roman" w:hAnsi="Times New Roman"/>
            <w:b w:val="false"/>
            <w:i w:val="false"/>
            <w:color w:val="000000"/>
            <w:sz w:val="22"/>
          </w:rPr>
          <w:t>136.4(1)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136.4(2)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136.4(5)</w:t>
      </w:r>
      <w:r>
        <w:rPr>
          <w:rFonts w:ascii="Times New Roman" w:hAnsi="Times New Roman"/>
          <w:b w:val="false"/>
          <w:i w:val="false"/>
          <w:color w:val="000000"/>
          <w:sz w:val="22"/>
        </w:rPr>
        <w:t> </w:t>
      </w:r>
      <w:r>
        <w:rPr>
          <w:rFonts w:ascii="Times New Roman" w:hAnsi="Times New Roman"/>
          <w:b w:val="false"/>
          <w:i w:val="false"/>
          <w:color w:val="000000"/>
          <w:sz w:val="22"/>
        </w:rPr>
        <w:t>If an owner or operator uses separate mechanisms or separate combinations of mechanisms to demonstrate financial responsibility for different petroleum underground storage tanks, the annual aggregate required shall be based on the number of tanks covered by each such separate mechanism or combination of mechanisms.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136.4(6)</w:t>
      </w:r>
      <w:r>
        <w:rPr>
          <w:rFonts w:ascii="Times New Roman" w:hAnsi="Times New Roman"/>
          <w:b w:val="false"/>
          <w:i w:val="false"/>
          <w:color w:val="000000"/>
          <w:sz w:val="22"/>
        </w:rPr>
        <w:t> </w:t>
      </w:r>
      <w:r>
        <w:rPr>
          <w:rFonts w:ascii="Times New Roman" w:hAnsi="Times New Roman"/>
          <w:b w:val="false"/>
          <w:i w:val="false"/>
          <w:color w:val="000000"/>
          <w:sz w:val="22"/>
        </w:rPr>
        <w:t>Owners or operators shall review the amount of aggregate assurance provided whenever additional petroleum underground storage tanks are acquired or installed. If the number of petroleum underground storage tanks for which assurance must be provided exceeds 100, the owner or operator shall demonstrate financial responsibility in the amount of at least $2 million of annual aggregate assurance by the anniversary of the date on which the mechanism demonstrating financial responsibility became effective. If assurance is being demonstrated by a combination of mechanisms, the owner or operator shall demonstrate financial responsibility in the amount of at least $2 million of annual aggregate assurance by the first-occurring effective date anniversary of any one of the mechanisms combined (other than a financial test or guarantee) to provide assurance.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136.4(7)</w:t>
      </w:r>
      <w:r>
        <w:rPr>
          <w:rFonts w:ascii="Times New Roman" w:hAnsi="Times New Roman"/>
          <w:b w:val="false"/>
          <w:i w:val="false"/>
          <w:color w:val="000000"/>
          <w:sz w:val="22"/>
        </w:rPr>
        <w:t> </w:t>
      </w:r>
      <w:r>
        <w:rPr>
          <w:rFonts w:ascii="Times New Roman" w:hAnsi="Times New Roman"/>
          <w:b w:val="false"/>
          <w:i w:val="false"/>
          <w:color w:val="000000"/>
          <w:sz w:val="22"/>
        </w:rPr>
        <w:t>The amounts of assurance required under this rule exclude legal defense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136.4(8)</w:t>
      </w:r>
      <w:r>
        <w:rPr>
          <w:rFonts w:ascii="Times New Roman" w:hAnsi="Times New Roman"/>
          <w:b w:val="false"/>
          <w:i w:val="false"/>
          <w:color w:val="000000"/>
          <w:sz w:val="22"/>
        </w:rPr>
        <w:t> </w:t>
      </w:r>
      <w:r>
        <w:rPr>
          <w:rFonts w:ascii="Times New Roman" w:hAnsi="Times New Roman"/>
          <w:b w:val="false"/>
          <w:i w:val="false"/>
          <w:color w:val="000000"/>
          <w:sz w:val="22"/>
        </w:rPr>
        <w:t>The required per-occurrence and annual aggregate coverage amounts do not in any way limit the liability of the owner or operator.</w:t>
      </w:r>
    </w:p>
    <w:p>
      <w:pPr>
        <w:spacing w:before="0" w:after="0"/>
        <w:ind w:left="120"/>
        <w:jc w:val="both"/>
      </w:pPr>
      <w:r>
        <w:rPr>
          <w:rFonts w:ascii="Times New Roman" w:hAnsi="Times New Roman"/>
          <w:b/>
          <w:i w:val="false"/>
          <w:color w:val="000000"/>
          <w:sz w:val="22"/>
        </w:rPr>
        <w:t>567—136.5</w:t>
      </w:r>
      <w:r>
        <w:rPr>
          <w:rFonts w:ascii="Times New Roman" w:hAnsi="Times New Roman"/>
          <w:b/>
          <w:i w:val="false"/>
          <w:color w:val="000000"/>
          <w:sz w:val="22"/>
        </w:rPr>
        <w:t xml:space="preserve">(455B) </w:t>
      </w:r>
      <w:r>
        <w:rPr>
          <w:rFonts w:ascii="Times New Roman" w:hAnsi="Times New Roman"/>
          <w:b/>
          <w:i w:val="false"/>
          <w:color w:val="000000"/>
          <w:sz w:val="22"/>
        </w:rPr>
        <w:t xml:space="preserve">Allowable mechanisms and combinations of mechanisms.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limitations of subrule </w:t>
      </w:r>
      <w:hyperlink r:id="rId16">
        <w:r>
          <w:rPr>
            <w:rStyle w:val="Hyperlink"/>
            <w:rFonts w:ascii="Times New Roman" w:hAnsi="Times New Roman"/>
            <w:b w:val="false"/>
            <w:i w:val="false"/>
            <w:color w:val="000000"/>
            <w:sz w:val="22"/>
          </w:rPr>
          <w:t>136.5(2)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including a local government owner or operator, may use any one or combination of the mechanisms listed in rules 567—</w:t>
      </w:r>
      <w:hyperlink r:id="rId17">
        <w:r>
          <w:rPr>
            <w:rStyle w:val="Hyperlink"/>
            <w:rFonts w:ascii="Times New Roman" w:hAnsi="Times New Roman"/>
            <w:b w:val="false"/>
            <w:i w:val="false"/>
            <w:color w:val="000000"/>
            <w:sz w:val="22"/>
          </w:rPr>
          <w:t>136.6</w:t>
        </w:r>
      </w:hyperlink>
      <w:r>
        <w:rPr>
          <w:rFonts w:ascii="Times New Roman" w:hAnsi="Times New Roman"/>
          <w:b w:val="false"/>
          <w:i w:val="false"/>
          <w:color w:val="000000"/>
          <w:sz w:val="22"/>
        </w:rPr>
        <w:t>(455B) to 567—</w:t>
      </w:r>
      <w:hyperlink r:id="rId18">
        <w:r>
          <w:rPr>
            <w:rStyle w:val="Hyperlink"/>
            <w:rFonts w:ascii="Times New Roman" w:hAnsi="Times New Roman"/>
            <w:b w:val="false"/>
            <w:i w:val="false"/>
            <w:color w:val="000000"/>
            <w:sz w:val="22"/>
          </w:rPr>
          <w:t>136.12</w:t>
        </w:r>
      </w:hyperlink>
      <w:r>
        <w:rPr>
          <w:rFonts w:ascii="Times New Roman" w:hAnsi="Times New Roman"/>
          <w:b w:val="false"/>
          <w:i w:val="false"/>
          <w:color w:val="000000"/>
          <w:sz w:val="22"/>
        </w:rPr>
        <w:t>(455B) to demonstrate financial responsibility under this chapter for one or more underground storage tanks,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may use any one or combination of the mechanisms listed in rules 567—</w:t>
      </w:r>
      <w:hyperlink r:id="rId19">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(455B) to 567—</w:t>
      </w:r>
      <w:hyperlink r:id="rId20">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to demonstrate financial responsibility under this chapter for one or more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136.5(2)</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use self-insurance in combination with a guarantee only if, for the purpose of meeting the requirements of the financial test under this chapter, the financial statements of the owner or operator are not consolidated with the financial statements of the guarantor.</w:t>
      </w:r>
    </w:p>
    <w:p>
      <w:pPr>
        <w:spacing w:before="0" w:after="0"/>
        <w:ind w:left="120"/>
        <w:jc w:val="both"/>
      </w:pPr>
      <w:r>
        <w:rPr>
          <w:rFonts w:ascii="Times New Roman" w:hAnsi="Times New Roman"/>
          <w:b/>
          <w:i w:val="false"/>
          <w:color w:val="000000"/>
          <w:sz w:val="22"/>
        </w:rPr>
        <w:t>567—136.6</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test of self-insurance.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and/or guarantor, may satisfy the requirements of </w:t>
      </w:r>
      <w:hyperlink r:id="rId21">
        <w:r>
          <w:rPr>
            <w:rStyle w:val="Hyperlink"/>
            <w:rFonts w:ascii="Times New Roman" w:hAnsi="Times New Roman"/>
            <w:b w:val="false"/>
            <w:i w:val="false"/>
            <w:color w:val="000000"/>
            <w:sz w:val="22"/>
          </w:rPr>
          <w:t>rule 567—136.4(455B)</w:t>
        </w:r>
      </w:hyperlink>
      <w:r>
        <w:rPr>
          <w:rFonts w:ascii="Times New Roman" w:hAnsi="Times New Roman"/>
          <w:b w:val="false"/>
          <w:i w:val="false"/>
          <w:color w:val="000000"/>
          <w:sz w:val="22"/>
        </w:rPr>
        <w:t xml:space="preserve"> by passing a financial test as specified in this rule. To pass the financial test of self-insurance, the owner or operator, and/or guarantor must meet the criteria of subrule </w:t>
      </w:r>
      <w:hyperlink r:id="rId22">
        <w:r>
          <w:rPr>
            <w:rStyle w:val="Hyperlink"/>
            <w:rFonts w:ascii="Times New Roman" w:hAnsi="Times New Roman"/>
            <w:b w:val="false"/>
            <w:i w:val="false"/>
            <w:color w:val="000000"/>
            <w:sz w:val="22"/>
          </w:rPr>
          <w:t>136.6(2)</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based on year-end financial statements for the latest completed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136.6(2)</w:t>
      </w:r>
      <w:r>
        <w:rPr>
          <w:rFonts w:ascii="Times New Roman" w:hAnsi="Times New Roman"/>
          <w:b w:val="false"/>
          <w:i w:val="false"/>
          <w:color w:val="000000"/>
          <w:sz w:val="22"/>
        </w:rPr>
        <w:t> </w:t>
      </w:r>
      <w:r>
        <w:rPr>
          <w:rFonts w:ascii="Times New Roman" w:hAnsi="Times New Roman"/>
          <w:b w:val="false"/>
          <w:i w:val="false"/>
          <w:color w:val="000000"/>
          <w:sz w:val="22"/>
        </w:rPr>
        <w:t>Financial test alternative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and/or guarantor, must have a tangible net worth of at least ten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of the applicable aggregate amount required by rule 567—</w:t>
      </w:r>
      <w:hyperlink r:id="rId24">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based on the number of underground storage tanks for which a financial test is used to demonstrate financial responsibility to the Iowa department of natural resources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 of the corrective action cost estimates, the current closure and postclosure care cost estimates, and amount of liability coverage for which a financial test is used to demonstrate financial responsibility to EPA under 40 CFR Parts 264.101, 264.143, 264.145, 264.147, 265.143, 265.145, and 265.147 or to a state implementing agency under a state program authorized by EPA under 40 CFR Part 271;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 of current plugging and abandonment cost estimates for which a financial test is used to demonstrate financial responsibility to EPA under 40 CFR Part 144.63 or to a state implementing agency under a state program authorized by EPA under 40 CFR Part 145.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and/or guarantor, must have a tangible net worth of at least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and/or guarantor, must have a letter signed by the chief financial officer worded as specified in subrule </w:t>
      </w:r>
      <w:hyperlink r:id="rId25">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and/or guarantor, must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financial statements annually with the U.S. Securities and Exchange Commission, the Energy Information Administration, or the Rural Utilities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annually the firm’s tangible net worth to Dun and Bradstreet, and Dun and Bradstreet must have assigned the firm a financial strength rating of 4A or 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firm’s year-end financial statements, if independently audited, cannot include an adverse auditor’s opinion, a disclaimer of opinion, or a “going concern”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136.6(3)</w:t>
      </w:r>
      <w:r>
        <w:rPr>
          <w:rFonts w:ascii="Times New Roman" w:hAnsi="Times New Roman"/>
          <w:b w:val="false"/>
          <w:i w:val="false"/>
          <w:color w:val="000000"/>
          <w:sz w:val="22"/>
        </w:rPr>
        <w:t> </w:t>
      </w:r>
      <w:r>
        <w:rPr>
          <w:rFonts w:ascii="Times New Roman" w:hAnsi="Times New Roman"/>
          <w:b w:val="false"/>
          <w:i w:val="false"/>
          <w:color w:val="000000"/>
          <w:sz w:val="22"/>
        </w:rPr>
        <w:t>Financial test alternative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and/or guarantor must meet the financial test requirements of 40 CFR 264.147(f)(1) substituting the appropriate amounts specified in </w:t>
      </w:r>
      <w:hyperlink r:id="rId26">
        <w:r>
          <w:rPr>
            <w:rStyle w:val="Hyperlink"/>
            <w:rFonts w:ascii="Times New Roman" w:hAnsi="Times New Roman"/>
            <w:b w:val="false"/>
            <w:i w:val="false"/>
            <w:color w:val="000000"/>
            <w:sz w:val="22"/>
          </w:rPr>
          <w:t>136.4(2)</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for the “amount of liability coverage” each time specified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operator, or guarantor must have a tangible net worth of at least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operator, or guarantor must have a tangible net worth of at least six times the amount of the applicable UST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90 percent of the total assets of the owner, operator, or guarantor must be U.S. assets, or U.S. assets at least six times the amount of the applicable UST aggregate,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Net working capital at least six times the applicable UST aggregate;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current bond rating for the most recent bond issue of AAA, AA, A or BBB as issued by Standard &amp; Poor’s, or Aaa, Aa, A or Baa as issued by Moody’s.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fiscal year-end financial statements of the owner or operator, and/or guarantor, must be examined by an independent certified public accountant and be accompanied by the accountant’s report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firm’s year-end financial statements cannot include an adverse auditor’s opinion, a disclaimer of opinion, or a “going concern”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and/or guarantor, must have a letter signed by the chief financial officer, worded as specified in subrule </w:t>
      </w:r>
      <w:hyperlink r:id="rId27">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financial statements of the owner or operator, and/or guarantor, are not submitted annually to the U.S. Securities and Exchange Commission, the Energy Information Administration or the Rural Utilities Service, the owner or operator, and/or guarantor, must obtain a special report by an independent certified public accountant stating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accountant has compared the data that the letter from the chief financial officer specifies as having been derived from the latest year-end financial statements of the owner or operator, and/or guarantor, with the amounts in such financial statements;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connection with that comparison, no matters came to the accountant’s attention which caused the belief that the specified data should be adjusted.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136.6(4)</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that it meets the financial test under subrule </w:t>
      </w:r>
      <w:hyperlink r:id="rId28">
        <w:r>
          <w:rPr>
            <w:rStyle w:val="Hyperlink"/>
            <w:rFonts w:ascii="Times New Roman" w:hAnsi="Times New Roman"/>
            <w:b w:val="false"/>
            <w:i w:val="false"/>
            <w:color w:val="000000"/>
            <w:sz w:val="22"/>
          </w:rPr>
          <w:t>136.6(2)</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the chief financial officer of the owner or operator, and/or guarantor, must sign, within 120 days of the close of each financial reporting year, as defined by the 12-month period for which financial statements used to support the financial test are prepared, a letter worded exactly as follows, except that the instructions in brackets are to be replaced by the relevant information and the brackets deleted:</w:t>
      </w:r>
    </w:p>
    <w:p>
      <w:pPr>
        <w:spacing w:before="0" w:after="0"/>
        <w:ind w:left="120"/>
        <w:jc w:val="center"/>
      </w:pPr>
      <w:r>
        <w:rPr>
          <w:rFonts w:ascii="Times New Roman" w:hAnsi="Times New Roman"/>
          <w:b w:val="false"/>
          <w:i w:val="false"/>
          <w:color w:val="000000"/>
          <w:sz w:val="22"/>
        </w:rPr>
        <w:t>Letter from Chief Financial Officer</w:t>
      </w:r>
    </w:p>
    <w:p>
      <w:pPr>
        <w:spacing w:before="0" w:after="0"/>
        <w:ind w:left="120"/>
        <w:jc w:val="both"/>
      </w:pPr>
      <w:r>
        <w:rPr>
          <w:rFonts w:ascii="Times New Roman" w:hAnsi="Times New Roman"/>
          <w:b w:val="false"/>
          <w:i w:val="false"/>
          <w:color w:val="000000"/>
          <w:sz w:val="22"/>
        </w:rPr>
        <w:t>I am the chief financial officer of [insert: name and address of the owner or operator, or guarantor]. This letter is in support of the use of [insert: “the financial test of self-insurance,” and/or “guarantee”] to demonstrate financial responsibility for [insert: “taking corrective action” and/or “compensating third parties for bodily injury and property damage”] caused by [insert: “sudden accidental releases” or “nonsudden accidental releases” or “accidental releases”] in the amount of at least [insert: dollar amount] per occurrence and [insert: dollar amount] annual aggregate arising from operating (an) underground storage tank(s).</w:t>
      </w:r>
    </w:p>
    <w:p>
      <w:pPr>
        <w:spacing w:before="0" w:after="0"/>
        <w:ind w:left="120"/>
        <w:jc w:val="both"/>
      </w:pPr>
      <w:r>
        <w:rPr>
          <w:rFonts w:ascii="Times New Roman" w:hAnsi="Times New Roman"/>
          <w:b w:val="false"/>
          <w:i w:val="false"/>
          <w:color w:val="000000"/>
          <w:sz w:val="22"/>
        </w:rPr>
        <w:t xml:space="preserve">Underground storage tanks at the following facilities are assured by this financial test by this [insert: “owner or operator,” and/or “guarantor”]: [List for each facility: the name and address of the facility where tanks assured by this financial test are located and whether tanks are assured by this financial test. If separate mechanisms or combinations of mechanisms are being used to assure any of the tanks at this facility, list each tank assured by this financial test by the tank identification number provided in the notification submitted pursuant to subrule </w:t>
      </w:r>
      <w:hyperlink r:id="rId30">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[insert: “financial test,” and/or “guarantee”] is also used by this [insert: “owner or operator,” or “guarantor”] to demonstrate evidence of financial responsibility in the following amounts under other EPA regulations or state programs authorized by EPA under 40 CFR Parts 271 and 145:</w:t>
      </w:r>
    </w:p>
    <w:tbl>
      <w:tblPr>
        <w:tblW w:w="5000" w:type="pct"/>
        <w:tblCellSpacing w:w="0" w:type="auto"/>
        <w:tblBorders>
          <w:top w:val="none"/>
          <w:left w:val="none"/>
          <w:bottom w:val="none"/>
          <w:right w:val="none"/>
          <w:insideH w:val="none"/>
          <w:insideV w:val="none"/>
        </w:tblBorders>
        <w:tblLayout w:type="fixed"/>
      </w:tblPr>
      <w:tblGrid>
        <w:gridCol w:w="1104"/>
        <w:gridCol w:w="7536"/>
        <w:gridCol w:w="2549"/>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Regulation:</w:t>
            </w:r>
          </w:p>
        </w:tc>
        <w:tc>
          <w:tcPr>
            <w:tcW w:w="25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Amount</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Closure (§§264.143 and 265.143)</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Postclosure Care (§§264.145 and 265.145)</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Liability Coverage (§§264.147 and 265.147)</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Action (§264.101(b))</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33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Plugging and Abandonment (§144.63)</w:t>
            </w:r>
          </w:p>
          <w:p>
            <w:pPr>
              <w:spacing w:before="0" w:after="0"/>
              <w:ind w:left="160"/>
              <w:jc w:val="left"/>
            </w:pPr>
            <w:r>
              <w:rPr>
                <w:rFonts w:ascii="Times New Roman" w:hAnsi="Times New Roman"/>
                <w:b w:val="false"/>
                <w:i w:val="false"/>
                <w:color w:val="000000"/>
                <w:sz w:val="16"/>
              </w:rPr>
              <w:t> </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Authorized State Programs:</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Closure</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Postclosure Care</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Liability Coverage</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55"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Action</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Plugging and Abandonment</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r>
        <w:trPr>
          <w:trHeight w:val="210" w:hRule="atLeast"/>
        </w:trPr>
        <w:tc>
          <w:tcPr>
            <w:tcW w:w="1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TOTAL</w:t>
            </w:r>
          </w:p>
        </w:tc>
        <w:tc>
          <w:tcPr>
            <w:tcW w:w="2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t>
            </w:r>
          </w:p>
        </w:tc>
      </w:tr>
    </w:tbl>
    <w:p>
      <w:pPr>
        <w:spacing w:before="0" w:after="0"/>
        <w:ind w:left="120"/>
        <w:jc w:val="both"/>
      </w:pPr>
      <w:r>
        <w:rPr>
          <w:rFonts w:ascii="Times New Roman" w:hAnsi="Times New Roman"/>
          <w:b w:val="false"/>
          <w:i w:val="false"/>
          <w:color w:val="000000"/>
          <w:sz w:val="22"/>
        </w:rPr>
        <w:t>This [insert: “owner or operator,” or “guarantor”] has not received an adverse opinion, a disclaimer of opinion, or a “going concern” qualification from an independent auditor on financial statements for the latest completed fiscal year.</w:t>
      </w:r>
    </w:p>
    <w:p>
      <w:pPr>
        <w:spacing w:before="0" w:after="0"/>
        <w:ind w:left="120"/>
        <w:jc w:val="both"/>
      </w:pPr>
      <w:r>
        <w:rPr>
          <w:rFonts w:ascii="Times New Roman" w:hAnsi="Times New Roman"/>
          <w:b w:val="false"/>
          <w:i w:val="false"/>
          <w:color w:val="000000"/>
          <w:sz w:val="22"/>
        </w:rPr>
        <w:t xml:space="preserve">[Fill in the information for Alternative I if the criteria of subrule </w:t>
      </w:r>
      <w:hyperlink r:id="rId31">
        <w:r>
          <w:rPr>
            <w:rStyle w:val="Hyperlink"/>
            <w:rFonts w:ascii="Times New Roman" w:hAnsi="Times New Roman"/>
            <w:b w:val="false"/>
            <w:i w:val="false"/>
            <w:color w:val="000000"/>
            <w:sz w:val="22"/>
          </w:rPr>
          <w:t>136.6(2)</w:t>
        </w:r>
      </w:hyperlink>
      <w:r>
        <w:rPr>
          <w:rFonts w:ascii="Times New Roman" w:hAnsi="Times New Roman"/>
          <w:b w:val="false"/>
          <w:i w:val="false"/>
          <w:color w:val="000000"/>
          <w:sz w:val="22"/>
        </w:rPr>
        <w:t xml:space="preserve"> are being used to demonstrate compliance with the financial test requirements. Fill in the information of Alternative II if the criteria of subrule </w:t>
      </w:r>
      <w:hyperlink r:id="rId32">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are being used to demonstrate compliance with the financial test requirements.]</w:t>
      </w:r>
    </w:p>
    <w:tbl>
      <w:tblPr>
        <w:tblW w:w="5000" w:type="pct"/>
        <w:tblCellSpacing w:w="0" w:type="auto"/>
        <w:tblBorders>
          <w:top w:val="none"/>
          <w:left w:val="none"/>
          <w:bottom w:val="none"/>
          <w:right w:val="none"/>
          <w:insideH w:val="none"/>
          <w:insideV w:val="none"/>
        </w:tblBorders>
        <w:tblLayout w:type="fixed"/>
      </w:tblPr>
      <w:tblGrid>
        <w:gridCol w:w="1214"/>
        <w:gridCol w:w="7262"/>
        <w:gridCol w:w="1357"/>
        <w:gridCol w:w="1357"/>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I</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Amount of annual UST aggregate coverage being assured by a financial test, and/or guarantee</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Amount of corrective action, closure and postclosure care costs, liability coverage, and plugging and abandonment costs covered by a financial test, and/or guarantee</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Sum of lines 1 and 2</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tangible assets</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57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liabilities [if any of the amount reported on line 3 is included in total liabilities, you may deduct that amount from this line and add that amount to line 6]</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Tangible net worth [subtract line 5 from line 4]</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13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Is line 6 at least $10 million?</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Is line 6 at least 10 times line 3?</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Have financial statements for the latest fiscal year been filed with the Securities and Exchange Commission?</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Have financial statements for the latest fiscal year been filed with the Energy Information Administration?</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Have financial statements for the latest fiscal year been filed with the Rural Utilities Service?</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57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Has financial information been provided to Dun and Bradstreet, and has Dun and Bradstreet provided a financial strength rating of 4A or 5A? [Answer “Yes” only if both criteria have been met.]</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II</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Amount of annual UST aggregate coverage being assured by a financial test, and/or guarantee</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Amount of corrective action, closure and postclosure care costs, liability coverage, and plugging and abandonment costs covered by a financial test, and/or guarantee</w:t>
            </w:r>
          </w:p>
        </w:tc>
        <w:tc>
          <w:tcPr>
            <w:tcW w:w="0" w:type="auto"/>
            <w:gridSpan w:val="2"/>
            <w:tcBorders/>
            <w:tcMar>
              <w:top w:w="30" w:type="dxa"/>
              <w:left w:w="30" w:type="dxa"/>
              <w:bottom w:w="15" w:type="dxa"/>
              <w:right w:w="30" w:type="dxa"/>
            </w:tcMar>
            <w:vAlign w:val="bottom"/>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Sum of lines 1 and 2</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tangible assets</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57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liabilities [if any of the amount reported on line 3 is included in total liabilities, you may deduct that amount from this line and add that amount to line 6]</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Tangible net worth [subtract line 5 from line 4]</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assets in the U.S. [required only if less than 90 percent of assets are located in the U.S.]</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Is line 6 at least $10 million?</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Is line 6 at least 6 times line 3?</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Are at least 90 percent of assets located in the U.S.? [If “No,” complete line 11.]</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39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7262"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Is line 7 at least 6 times line 3?</w:t>
            </w:r>
          </w:p>
          <w:p>
            <w:pPr>
              <w:spacing w:before="0" w:after="0"/>
              <w:ind w:left="160"/>
              <w:jc w:val="both"/>
            </w:pPr>
            <w:r>
              <w:rPr>
                <w:rFonts w:ascii="Times New Roman" w:hAnsi="Times New Roman"/>
                <w:b w:val="false"/>
                <w:i w:val="false"/>
                <w:color w:val="000000"/>
                <w:sz w:val="16"/>
              </w:rPr>
              <w:t>[Fill in either lines 12-15 or lines 16-18.]</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Current assets</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Current liabilities</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Net working capital [subtract line 13 from line 12]</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 </w:t>
            </w: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Is line 14 at least 6 times line 3?</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Current bond rating of most recent bond issue</w:t>
            </w:r>
          </w:p>
        </w:tc>
        <w:tc>
          <w:tcPr>
            <w:tcW w:w="0" w:type="auto"/>
            <w:gridSpan w:val="2"/>
            <w:tcBorders/>
            <w:tcMar>
              <w:top w:w="30" w:type="dxa"/>
              <w:left w:w="30" w:type="dxa"/>
              <w:bottom w:w="15" w:type="dxa"/>
              <w:right w:w="30" w:type="dxa"/>
            </w:tcMar>
            <w:vAlign w:val="top"/>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Name of rating service</w:t>
            </w:r>
          </w:p>
        </w:tc>
        <w:tc>
          <w:tcPr>
            <w:tcW w:w="0" w:type="auto"/>
            <w:gridSpan w:val="2"/>
            <w:tcBorders/>
            <w:tcMar>
              <w:top w:w="30" w:type="dxa"/>
              <w:left w:w="30" w:type="dxa"/>
              <w:bottom w:w="15" w:type="dxa"/>
              <w:right w:w="30" w:type="dxa"/>
            </w:tcMar>
            <w:vAlign w:val="top"/>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Date of maturity of bond</w:t>
            </w:r>
          </w:p>
        </w:tc>
        <w:tc>
          <w:tcPr>
            <w:tcW w:w="0" w:type="auto"/>
            <w:gridSpan w:val="2"/>
            <w:tcBorders/>
            <w:tcMar>
              <w:top w:w="30" w:type="dxa"/>
              <w:left w:w="30" w:type="dxa"/>
              <w:bottom w:w="15" w:type="dxa"/>
              <w:right w:w="30" w:type="dxa"/>
            </w:tcMar>
            <w:vAlign w:val="top"/>
          </w:tcPr>
          <w:p>
            <w:pPr>
              <w:spacing w:before="0" w:after="0"/>
              <w:ind w:left="0"/>
              <w:jc w:val="left"/>
            </w:pPr>
          </w:p>
        </w:tc>
      </w:tr>
      <w:tr>
        <w:trPr>
          <w:trHeight w:val="450" w:hRule="atLeast"/>
        </w:trPr>
        <w:tc>
          <w:tcPr>
            <w:tcW w:w="12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26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Have financial statements for the latest fiscal year been filed with the SEC, the Energy Information Administration, or the Rural Utilities Service?</w:t>
            </w:r>
          </w:p>
        </w:tc>
        <w:tc>
          <w:tcPr>
            <w:tcW w:w="1357" w:type="dxa"/>
            <w:tcBorders/>
            <w:tcMar>
              <w:top w:w="30" w:type="dxa"/>
              <w:left w:w="30" w:type="dxa"/>
              <w:bottom w:w="15" w:type="dxa"/>
              <w:right w:w="30" w:type="dxa"/>
            </w:tcMar>
            <w:vAlign w:val="bottom"/>
          </w:tcPr>
          <w:p>
            <w:pPr>
              <w:spacing w:before="0" w:after="0"/>
              <w:ind w:left="0"/>
              <w:jc w:val="left"/>
            </w:pPr>
          </w:p>
        </w:tc>
        <w:tc>
          <w:tcPr>
            <w:tcW w:w="1357" w:type="dxa"/>
            <w:tcBorders/>
            <w:tcMar>
              <w:top w:w="30" w:type="dxa"/>
              <w:left w:w="30" w:type="dxa"/>
              <w:bottom w:w="15" w:type="dxa"/>
              <w:right w:w="30" w:type="dxa"/>
            </w:tcMar>
            <w:vAlign w:val="bottom"/>
          </w:tcPr>
          <w:p>
            <w:pPr>
              <w:spacing w:before="0" w:after="0"/>
              <w:ind w:left="0"/>
              <w:jc w:val="left"/>
            </w:pPr>
          </w:p>
        </w:tc>
      </w:tr>
      <w:tr>
        <w:trPr>
          <w:trHeight w:val="210" w:hRule="atLeast"/>
        </w:trPr>
        <w:tc>
          <w:tcPr>
            <w:tcW w:w="12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815" w:hRule="atLeast"/>
        </w:trPr>
        <w:tc>
          <w:tcPr>
            <w:tcW w:w="12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“No,” please attach a report from an independent certified public accountant certifying that there are no material differences between the data as reported in lines 4-18 above and the financial statements for the latest fiscal year.]</w:t>
            </w:r>
          </w:p>
          <w:p>
            <w:pPr>
              <w:spacing w:before="0" w:after="0"/>
              <w:ind w:left="160"/>
              <w:jc w:val="both"/>
            </w:pPr>
            <w:r>
              <w:rPr>
                <w:rFonts w:ascii="Times New Roman" w:hAnsi="Times New Roman"/>
                <w:b w:val="false"/>
                <w:i w:val="false"/>
                <w:color w:val="000000"/>
                <w:sz w:val="16"/>
              </w:rPr>
              <w:t>[For both Alternative I and Alternative II complete the certification with this statement.]</w:t>
            </w:r>
          </w:p>
          <w:p>
            <w:pPr>
              <w:spacing w:before="0" w:after="0"/>
              <w:ind w:left="160"/>
              <w:jc w:val="both"/>
            </w:pPr>
            <w:r>
              <w:rPr>
                <w:rFonts w:ascii="Times New Roman" w:hAnsi="Times New Roman"/>
                <w:b w:val="false"/>
                <w:i w:val="false"/>
                <w:color w:val="000000"/>
                <w:sz w:val="16"/>
              </w:rPr>
              <w:t xml:space="preserve">I hereby certify that the wording of this letter is identical to the wording specified in subrule </w:t>
            </w:r>
            <w:hyperlink r:id="rId33">
              <w:r>
                <w:rPr>
                  <w:rStyle w:val="Hyperlink"/>
                  <w:rFonts w:ascii="Times New Roman" w:hAnsi="Times New Roman"/>
                  <w:b w:val="false"/>
                  <w:i w:val="false"/>
                  <w:color w:val="000000"/>
                  <w:sz w:val="16"/>
                </w:rPr>
                <w:t>136.6(4)</w:t>
              </w:r>
            </w:hyperlink>
            <w:r>
              <w:rPr>
                <w:rFonts w:ascii="Times New Roman" w:hAnsi="Times New Roman"/>
                <w:b w:val="false"/>
                <w:i w:val="false"/>
                <w:color w:val="000000"/>
                <w:sz w:val="16"/>
              </w:rPr>
              <w:t xml:space="preserve"> as such regulations were constituted on the date shown immediately below.</w:t>
            </w:r>
          </w:p>
          <w:p>
            <w:pPr>
              <w:spacing w:before="0" w:after="0"/>
              <w:ind w:left="160"/>
              <w:jc w:val="both"/>
            </w:pPr>
            <w:r>
              <w:rPr>
                <w:rFonts w:ascii="Times New Roman" w:hAnsi="Times New Roman"/>
                <w:b w:val="false"/>
                <w:i w:val="false"/>
                <w:color w:val="000000"/>
                <w:sz w:val="16"/>
              </w:rPr>
              <w:t xml:space="preserve"> [Signature]</w:t>
            </w:r>
          </w:p>
          <w:p>
            <w:pPr>
              <w:spacing w:before="0" w:after="0"/>
              <w:ind w:left="160"/>
              <w:jc w:val="both"/>
            </w:pPr>
            <w:r>
              <w:rPr>
                <w:rFonts w:ascii="Times New Roman" w:hAnsi="Times New Roman"/>
                <w:b w:val="false"/>
                <w:i w:val="false"/>
                <w:color w:val="000000"/>
                <w:sz w:val="16"/>
              </w:rPr>
              <w:t xml:space="preserve"> [Name]</w:t>
            </w:r>
          </w:p>
          <w:p>
            <w:pPr>
              <w:spacing w:before="0" w:after="0"/>
              <w:ind w:left="160"/>
              <w:jc w:val="both"/>
            </w:pPr>
            <w:r>
              <w:rPr>
                <w:rFonts w:ascii="Times New Roman" w:hAnsi="Times New Roman"/>
                <w:b w:val="false"/>
                <w:i w:val="false"/>
                <w:color w:val="000000"/>
                <w:sz w:val="16"/>
              </w:rPr>
              <w:t xml:space="preserve"> [Title]</w:t>
            </w:r>
          </w:p>
          <w:p>
            <w:pPr>
              <w:spacing w:before="0" w:after="0"/>
              <w:ind w:left="160"/>
              <w:jc w:val="both"/>
            </w:pPr>
            <w:r>
              <w:rPr>
                <w:rFonts w:ascii="Times New Roman" w:hAnsi="Times New Roman"/>
                <w:b w:val="false"/>
                <w:i w:val="false"/>
                <w:color w:val="000000"/>
                <w:sz w:val="16"/>
              </w:rPr>
              <w:t xml:space="preserve"> [Date]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136.6(5)</w:t>
      </w:r>
      <w:r>
        <w:rPr>
          <w:rFonts w:ascii="Times New Roman" w:hAnsi="Times New Roman"/>
          <w:b w:val="false"/>
          <w:i w:val="false"/>
          <w:color w:val="000000"/>
          <w:sz w:val="22"/>
        </w:rPr>
        <w:t> </w:t>
      </w:r>
      <w:r>
        <w:rPr>
          <w:rFonts w:ascii="Times New Roman" w:hAnsi="Times New Roman"/>
          <w:b w:val="false"/>
          <w:i w:val="false"/>
          <w:color w:val="000000"/>
          <w:sz w:val="22"/>
        </w:rPr>
        <w:t>If an owner or operator using the test to provide financial assurance finds that the requirements of the financial test based on the year-end financial statements are no longer being met, the owner or operator must obtain alternative coverage within 150 days of the end of the year for which financial statements have been prepared.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require reports of financial condition at any time from the owner or operator, and/or guarantor. If the director finds, on the basis of such reports or other information, that the owner or operator, and/or guarantor, no longer meets the financial test requirements of subrule </w:t>
      </w:r>
      <w:hyperlink r:id="rId34">
        <w:r>
          <w:rPr>
            <w:rStyle w:val="Hyperlink"/>
            <w:rFonts w:ascii="Times New Roman" w:hAnsi="Times New Roman"/>
            <w:b w:val="false"/>
            <w:i w:val="false"/>
            <w:color w:val="000000"/>
            <w:sz w:val="22"/>
          </w:rPr>
          <w:t>136.6(2)</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 the owner or operator must obtain alternate coverage within 30 days after notification of such a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136.6(7)</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fails to obtain alternate assurance within 150 days of finding that the requirements of the financial test based on the year-end financial statements are no longer being met, or within 30 days of notification by the director that the requirements of the financial test are no longer being met, the owner or operator must notify the director of such failure within 10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567—136.7</w:t>
      </w:r>
      <w:r>
        <w:rPr>
          <w:rFonts w:ascii="Times New Roman" w:hAnsi="Times New Roman"/>
          <w:b/>
          <w:i w:val="false"/>
          <w:color w:val="000000"/>
          <w:sz w:val="22"/>
        </w:rPr>
        <w:t xml:space="preserve">(455B) </w:t>
      </w:r>
      <w:r>
        <w:rPr>
          <w:rFonts w:ascii="Times New Roman" w:hAnsi="Times New Roman"/>
          <w:b/>
          <w:i w:val="false"/>
          <w:color w:val="000000"/>
          <w:sz w:val="22"/>
        </w:rPr>
        <w:t xml:space="preserve">Guarantee.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satisfy the requirements of rule 567—</w:t>
      </w:r>
      <w:hyperlink r:id="rId37">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obtaining guarantee that conforms to the requirements of this rule. The guarantor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that possesses a controlling interest in the owner or operator; possesses a controlling interest in such a firm; or is controlled through stock ownership by a common parent firm that possesses a controlling interest in the owner or operator;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firm engaged in a substantial business relationship with the owner or operator and issuing the guarantee as an act incident to that business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120 days of the close of each financial reporting year the guarantor must demonstrate that it meets the financial test criteria of rule </w:t>
      </w:r>
      <w:hyperlink r:id="rId38">
        <w:r>
          <w:rPr>
            <w:rStyle w:val="Hyperlink"/>
            <w:rFonts w:ascii="Times New Roman" w:hAnsi="Times New Roman"/>
            <w:b w:val="false"/>
            <w:i w:val="false"/>
            <w:color w:val="000000"/>
            <w:sz w:val="22"/>
          </w:rPr>
          <w:t>567—136.6</w:t>
        </w:r>
      </w:hyperlink>
      <w:r>
        <w:rPr>
          <w:rFonts w:ascii="Times New Roman" w:hAnsi="Times New Roman"/>
          <w:b w:val="false"/>
          <w:i w:val="false"/>
          <w:color w:val="000000"/>
          <w:sz w:val="22"/>
        </w:rPr>
        <w:t xml:space="preserve">(455B) based on year-end financial statements for the latest completed financial reporting year by completing the letter from the chief financial officer described in subrule </w:t>
      </w:r>
      <w:hyperlink r:id="rId39">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 xml:space="preserve"> and must deliver the letter to the owner or operator. If the guarantor fails to meet the requirements of the financial test at the end of any financial reporting year, within 120 days of the end of that financial reporting year the guarantor shall send by certified mail, before cancellation or nonrenewal of the guarantee, notice to the owner or operator. If the director notifies the guarantor that the requirements of the financial test of subrules </w:t>
      </w:r>
      <w:hyperlink r:id="rId40">
        <w:r>
          <w:rPr>
            <w:rStyle w:val="Hyperlink"/>
            <w:rFonts w:ascii="Times New Roman" w:hAnsi="Times New Roman"/>
            <w:b w:val="false"/>
            <w:i w:val="false"/>
            <w:color w:val="000000"/>
            <w:sz w:val="22"/>
          </w:rPr>
          <w:t>136.6(2)</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 xml:space="preserve"> are no longer being met, the guarantor must notify the owner or operator within 10 days of receiving such notification from the director. In both cases, the guarantee will terminate no less than 120 days after the date the owner or operator receives the notification, as evidenced by the return receipt. The owner or operator must obtain alternate coverage as specified in subrule </w:t>
      </w:r>
      <w:hyperlink r:id="rId43">
        <w:r>
          <w:rPr>
            <w:rStyle w:val="Hyperlink"/>
            <w:rFonts w:ascii="Times New Roman" w:hAnsi="Times New Roman"/>
            <w:b w:val="false"/>
            <w:i w:val="false"/>
            <w:color w:val="000000"/>
            <w:sz w:val="22"/>
          </w:rPr>
          <w:t>136.23(3)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136.7(3)</w:t>
      </w:r>
      <w:r>
        <w:rPr>
          <w:rFonts w:ascii="Times New Roman" w:hAnsi="Times New Roman"/>
          <w:b w:val="false"/>
          <w:i w:val="false"/>
          <w:color w:val="000000"/>
          <w:sz w:val="22"/>
        </w:rPr>
        <w:t> </w:t>
      </w:r>
      <w:r>
        <w:rPr>
          <w:rFonts w:ascii="Times New Roman" w:hAnsi="Times New Roman"/>
          <w:b w:val="false"/>
          <w:i w:val="false"/>
          <w:color w:val="000000"/>
          <w:sz w:val="22"/>
        </w:rPr>
        <w:t>The guarantee must be worded as follows, except that instructions in brackets are to be replaced with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GUARANTEE</w:t>
      </w:r>
    </w:p>
    <w:p>
      <w:pPr>
        <w:spacing w:before="0" w:after="0"/>
        <w:ind w:left="356"/>
        <w:jc w:val="both"/>
      </w:pPr>
      <w:r>
        <w:rPr>
          <w:rFonts w:ascii="Times New Roman" w:hAnsi="Times New Roman"/>
          <w:b w:val="false"/>
          <w:i w:val="false"/>
          <w:color w:val="000000"/>
          <w:sz w:val="22"/>
        </w:rPr>
        <w:t xml:space="preserve"> Guarantee made this [date] by [name of guaranteeing entity], a business entity organized under the laws of the state of Iowa, herein referred to as guarantor, to the Iowa Department of Natural Resources and to any and all third parties, and obligees, on behalf of [owner or operator] of [business address].</w:t>
      </w:r>
    </w:p>
    <w:p>
      <w:pPr>
        <w:spacing w:before="0" w:after="0"/>
        <w:ind w:left="356"/>
        <w:jc w:val="both"/>
      </w:pPr>
      <w:r>
        <w:rPr>
          <w:rFonts w:ascii="Times New Roman" w:hAnsi="Times New Roman"/>
          <w:b w:val="false"/>
          <w:i w:val="false"/>
          <w:color w:val="000000"/>
          <w:sz w:val="22"/>
        </w:rPr>
        <w:t>Recitals.</w:t>
      </w:r>
    </w:p>
    <w:p>
      <w:pPr>
        <w:spacing w:before="0" w:after="0"/>
        <w:ind w:left="356"/>
        <w:jc w:val="both"/>
      </w:pPr>
      <w:r>
        <w:rPr>
          <w:rFonts w:ascii="Times New Roman" w:hAnsi="Times New Roman"/>
          <w:b w:val="false"/>
          <w:i w:val="false"/>
          <w:color w:val="000000"/>
          <w:sz w:val="22"/>
        </w:rPr>
        <w:t xml:space="preserve">1. Guarantor meets or exceeds the financial test criteria of subrules </w:t>
      </w:r>
      <w:hyperlink r:id="rId44">
        <w:r>
          <w:rPr>
            <w:rStyle w:val="Hyperlink"/>
            <w:rFonts w:ascii="Times New Roman" w:hAnsi="Times New Roman"/>
            <w:b w:val="false"/>
            <w:i w:val="false"/>
            <w:color w:val="000000"/>
            <w:sz w:val="22"/>
          </w:rPr>
          <w:t>567—136.6(2)</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 xml:space="preserve"> and agrees to comply with the requirements for guarantors as specified in subrule </w:t>
      </w:r>
      <w:hyperlink r:id="rId47">
        <w:r>
          <w:rPr>
            <w:rStyle w:val="Hyperlink"/>
            <w:rFonts w:ascii="Times New Roman" w:hAnsi="Times New Roman"/>
            <w:b w:val="false"/>
            <w:i w:val="false"/>
            <w:color w:val="000000"/>
            <w:sz w:val="22"/>
          </w:rPr>
          <w:t>136.7(2)</w:t>
        </w:r>
      </w:hyperlink>
      <w:r>
        <w:rPr>
          <w:rFonts w:ascii="Times New Roman" w:hAnsi="Times New Roman"/>
          <w:b w:val="false"/>
          <w:i w:val="false"/>
          <w:color w:val="000000"/>
          <w:sz w:val="22"/>
        </w:rPr>
        <w:t>.</w:t>
      </w:r>
    </w:p>
    <w:p>
      <w:pPr>
        <w:spacing w:before="0" w:after="0"/>
        <w:ind w:left="356"/>
        <w:jc w:val="both"/>
      </w:pPr>
      <w:r>
        <w:rPr>
          <w:rFonts w:ascii="Times New Roman" w:hAnsi="Times New Roman"/>
          <w:b w:val="false"/>
          <w:i w:val="false"/>
          <w:color w:val="000000"/>
          <w:sz w:val="22"/>
        </w:rPr>
        <w:t xml:space="preserve">2. [Owner or operator] owns or operates the following underground storage tank(s) covered by this guarantee: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subrule </w:t>
      </w:r>
      <w:hyperlink r:id="rId48">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the name and address of the facility.] This guarantee satisfies </w:t>
      </w:r>
      <w:hyperlink r:id="rId4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requirements for assuring funding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above-identified underground storage tank(s) in the amount of [insert dollar amount] per occurrence and [insert dollar amount] annual aggregate.</w:t>
      </w:r>
    </w:p>
    <w:p>
      <w:pPr>
        <w:spacing w:before="0" w:after="0"/>
        <w:ind w:left="356"/>
        <w:jc w:val="both"/>
      </w:pPr>
      <w:r>
        <w:rPr>
          <w:rFonts w:ascii="Times New Roman" w:hAnsi="Times New Roman"/>
          <w:b w:val="false"/>
          <w:i w:val="false"/>
          <w:color w:val="000000"/>
          <w:sz w:val="22"/>
        </w:rPr>
        <w:t>3. [Insert appropriate phrase: “On behalf of our subsidiary” (if guarantor is corporate parent of the owner or operator); “On behalf of our affiliate” (if guarantor is a related firm of the owner or operator); or “Incident to our business relationship with” (if guarantor is providing the guarantee as an incident to a substantial business relationship with owner or operator)] [owner or operator], guarantor guarantees to the Iowa Department of Natural Resources and to any and all third parties that:</w:t>
      </w:r>
    </w:p>
    <w:p>
      <w:pPr>
        <w:spacing w:before="0" w:after="0"/>
        <w:ind w:left="356"/>
        <w:jc w:val="both"/>
      </w:pPr>
      <w:r>
        <w:rPr>
          <w:rFonts w:ascii="Times New Roman" w:hAnsi="Times New Roman"/>
          <w:b w:val="false"/>
          <w:i w:val="false"/>
          <w:color w:val="000000"/>
          <w:sz w:val="22"/>
        </w:rPr>
        <w:t xml:space="preserve">In the event that [owner or operator] fails to provide alternate coverage within 60 days after receipt of a notice of cancellation of this guarantee and the Director of the Iowa Department of Natural Resources has determined or suspects that a release has occurred at an underground storage tank covered by this guarantee, the guarantor, upon instructions from the Director, shall fund a standby trust fund in accordance with the provisions of rule </w:t>
      </w:r>
      <w:hyperlink r:id="rId50">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in an amount not to exceed the coverage limits specified above.</w:t>
      </w:r>
    </w:p>
    <w:p>
      <w:pPr>
        <w:spacing w:before="0" w:after="0"/>
        <w:ind w:left="356"/>
        <w:jc w:val="both"/>
      </w:pPr>
      <w:r>
        <w:rPr>
          <w:rFonts w:ascii="Times New Roman" w:hAnsi="Times New Roman"/>
          <w:b w:val="false"/>
          <w:i w:val="false"/>
          <w:color w:val="000000"/>
          <w:sz w:val="22"/>
        </w:rPr>
        <w:t xml:space="preserve">In the event that the Director determines that [owner or operator] has failed to perform corrective action for releases arising out of the operation of the above-identified tank(s) in accordance with rule </w:t>
      </w:r>
      <w:hyperlink r:id="rId51">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the guarantor upon written instructions from the Director shall fund a standby trust in accordance with the provisions of rule </w:t>
      </w:r>
      <w:hyperlink r:id="rId52">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in an amount not to exceed the coverage limit specified above.</w:t>
      </w:r>
    </w:p>
    <w:p>
      <w:pPr>
        <w:spacing w:before="0" w:after="0"/>
        <w:ind w:left="356"/>
        <w:jc w:val="both"/>
      </w:pPr>
      <w:r>
        <w:rPr>
          <w:rFonts w:ascii="Times New Roman" w:hAnsi="Times New Roman"/>
          <w:b w:val="false"/>
          <w:i w:val="false"/>
          <w:color w:val="000000"/>
          <w:sz w:val="22"/>
        </w:rPr>
        <w:t xml:space="preserve">If [owner or operator] fails to satisfy a judgment or award based on a determination of liability for bodily injury or property damage to third parties caused by [“sudden” and/or “nonsudden”] accidental releases arising from the operation of the above-identified tank(s), or fails to pay an amount agreed to in settlement of a claim arising from or alleged to arise from such injury or damage, the guarantor, upon written instructions from the Director, shall fund a standby trust in accordance with the provisions of rule </w:t>
      </w:r>
      <w:hyperlink r:id="rId53">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to satisfy such judgment(s), award(s), or settlement agreement(s) up to the limits of coverage specified above.</w:t>
      </w:r>
    </w:p>
    <w:p>
      <w:pPr>
        <w:spacing w:before="0" w:after="0"/>
        <w:ind w:left="356"/>
        <w:jc w:val="both"/>
      </w:pPr>
      <w:r>
        <w:rPr>
          <w:rFonts w:ascii="Times New Roman" w:hAnsi="Times New Roman"/>
          <w:b w:val="false"/>
          <w:i w:val="false"/>
          <w:color w:val="000000"/>
          <w:sz w:val="22"/>
        </w:rPr>
        <w:t xml:space="preserve">4. Guarantor agrees that if, at the end of any fiscal year before cancellation of this guarantee, the guarantor fails to meet the financial test criteria of subrules </w:t>
      </w:r>
      <w:hyperlink r:id="rId54">
        <w:r>
          <w:rPr>
            <w:rStyle w:val="Hyperlink"/>
            <w:rFonts w:ascii="Times New Roman" w:hAnsi="Times New Roman"/>
            <w:b w:val="false"/>
            <w:i w:val="false"/>
            <w:color w:val="000000"/>
            <w:sz w:val="22"/>
          </w:rPr>
          <w:t>567—136.6(2)</w:t>
        </w:r>
      </w:hyperlink>
      <w:r>
        <w:rPr>
          <w:rFonts w:ascii="Times New Roman" w:hAnsi="Times New Roman"/>
          <w:b w:val="false"/>
          <w:i w:val="false"/>
          <w:color w:val="000000"/>
          <w:sz w:val="22"/>
        </w:rPr>
        <w:t xml:space="preserve"> or </w:t>
      </w:r>
      <w:hyperlink r:id="rId55">
        <w:r>
          <w:rPr>
            <w:rStyle w:val="Hyperlink"/>
            <w:rFonts w:ascii="Times New Roman" w:hAnsi="Times New Roman"/>
            <w:b w:val="false"/>
            <w:i w:val="false"/>
            <w:color w:val="000000"/>
            <w:sz w:val="22"/>
          </w:rPr>
          <w:t>136.6(3)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136.6(4)</w:t>
        </w:r>
      </w:hyperlink>
      <w:r>
        <w:rPr>
          <w:rFonts w:ascii="Times New Roman" w:hAnsi="Times New Roman"/>
          <w:b w:val="false"/>
          <w:i w:val="false"/>
          <w:color w:val="000000"/>
          <w:sz w:val="22"/>
        </w:rPr>
        <w:t>, guarantor shall send within 120 days of such failure, by certified mail, notice to [owner or operator]. The guarantee will terminate 120 days from the date of receipt of the notice by [owner or operator], as evidenced by the return receipt.</w:t>
      </w:r>
    </w:p>
    <w:p>
      <w:pPr>
        <w:spacing w:before="0" w:after="0"/>
        <w:ind w:left="356"/>
        <w:jc w:val="both"/>
      </w:pPr>
      <w:r>
        <w:rPr>
          <w:rFonts w:ascii="Times New Roman" w:hAnsi="Times New Roman"/>
          <w:b w:val="false"/>
          <w:i w:val="false"/>
          <w:color w:val="000000"/>
          <w:sz w:val="22"/>
        </w:rPr>
        <w:t>5. Guarantor agrees to notify [owner or operator] by certified mail of a voluntary or involuntary proceeding under Title 11 (Bankruptcy), U.S. Code, naming guarantor as debtor, within 10 days after commencement of the proceeding.</w:t>
      </w:r>
    </w:p>
    <w:p>
      <w:pPr>
        <w:spacing w:before="0" w:after="0"/>
        <w:ind w:left="356"/>
        <w:jc w:val="both"/>
      </w:pPr>
      <w:r>
        <w:rPr>
          <w:rFonts w:ascii="Times New Roman" w:hAnsi="Times New Roman"/>
          <w:b w:val="false"/>
          <w:i w:val="false"/>
          <w:color w:val="000000"/>
          <w:sz w:val="22"/>
        </w:rPr>
        <w:t xml:space="preserve">6. Guarantor agrees to remain bound under this guarantee notwithstanding any modification or alteration of any obligation of [owner or operator] pursuant to </w:t>
      </w:r>
      <w:hyperlink r:id="rId5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t>
      </w:r>
      <w:hyperlink r:id="rId58">
        <w:r>
          <w:rPr>
            <w:rStyle w:val="Hyperlink"/>
            <w:rFonts w:ascii="Times New Roman" w:hAnsi="Times New Roman"/>
            <w:b w:val="false"/>
            <w:i w:val="false"/>
            <w:color w:val="000000"/>
            <w:sz w:val="22"/>
          </w:rPr>
          <w:t>Chapter 136</w:t>
        </w:r>
      </w:hyperlink>
      <w:r>
        <w:rPr>
          <w:rFonts w:ascii="Times New Roman" w:hAnsi="Times New Roman"/>
          <w:b w:val="false"/>
          <w:i w:val="false"/>
          <w:color w:val="000000"/>
          <w:sz w:val="22"/>
        </w:rPr>
        <w:t>.</w:t>
      </w:r>
    </w:p>
    <w:p>
      <w:pPr>
        <w:spacing w:before="0" w:after="0"/>
        <w:ind w:left="356"/>
        <w:jc w:val="both"/>
      </w:pPr>
      <w:r>
        <w:rPr>
          <w:rFonts w:ascii="Times New Roman" w:hAnsi="Times New Roman"/>
          <w:b w:val="false"/>
          <w:i w:val="false"/>
          <w:color w:val="000000"/>
          <w:sz w:val="22"/>
        </w:rPr>
        <w:t xml:space="preserve">7. Guarantor agrees to remain bound under this guarantee for so long as [owner or operator] must comply with the applicable financial responsibility requirements of </w:t>
      </w:r>
      <w:hyperlink r:id="rId5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for the above-identified tank(s), except that guarantor may cancel this guarantee by sending notice by certified mail to [owner or operator], such cancellation to become effective no earlier than 120 days after receipt of such notice by [owner or operator], as evidenced by the return receipt.</w:t>
      </w:r>
    </w:p>
    <w:p>
      <w:pPr>
        <w:spacing w:before="0" w:after="0"/>
        <w:ind w:left="356"/>
        <w:jc w:val="both"/>
      </w:pPr>
      <w:r>
        <w:rPr>
          <w:rFonts w:ascii="Times New Roman" w:hAnsi="Times New Roman"/>
          <w:b w:val="false"/>
          <w:i w:val="false"/>
          <w:color w:val="000000"/>
          <w:sz w:val="22"/>
        </w:rPr>
        <w:t>8. The guarantor’s obligation does not apply to any of the following:</w:t>
      </w:r>
    </w:p>
    <w:p>
      <w:pPr>
        <w:spacing w:before="0" w:after="0"/>
        <w:ind w:left="356"/>
        <w:jc w:val="both"/>
      </w:pPr>
      <w:r>
        <w:rPr>
          <w:rFonts w:ascii="Times New Roman" w:hAnsi="Times New Roman"/>
          <w:b w:val="false"/>
          <w:i w:val="false"/>
          <w:color w:val="000000"/>
          <w:sz w:val="22"/>
        </w:rPr>
        <w:t>(a) Any obligation of [insert owner or operator] under a workers’ compensation, disability benefits, or unemployment compensation law or other similar law;</w:t>
      </w:r>
    </w:p>
    <w:p>
      <w:pPr>
        <w:spacing w:before="0" w:after="0"/>
        <w:ind w:left="356"/>
        <w:jc w:val="both"/>
      </w:pPr>
      <w:r>
        <w:rPr>
          <w:rFonts w:ascii="Times New Roman" w:hAnsi="Times New Roman"/>
          <w:b w:val="false"/>
          <w:i w:val="false"/>
          <w:color w:val="000000"/>
          <w:sz w:val="22"/>
        </w:rPr>
        <w:t>(b) Bodily injury to an employee of [insert owner or operator] arising from, and in the course of, employment by [insert owner or operator];</w:t>
      </w:r>
    </w:p>
    <w:p>
      <w:pPr>
        <w:spacing w:before="0" w:after="0"/>
        <w:ind w:left="356"/>
        <w:jc w:val="both"/>
      </w:pPr>
      <w:r>
        <w:rPr>
          <w:rFonts w:ascii="Times New Roman" w:hAnsi="Times New Roman"/>
          <w:b w:val="false"/>
          <w:i w:val="false"/>
          <w:color w:val="000000"/>
          <w:sz w:val="22"/>
        </w:rPr>
        <w:t>(c) Bodily injury or property damage arising from the ownership, maintenance, use, or entrustment to others of any aircraft, motor vehicle, or watercraft;</w:t>
      </w:r>
    </w:p>
    <w:p>
      <w:pPr>
        <w:spacing w:before="0" w:after="0"/>
        <w:ind w:left="356"/>
        <w:jc w:val="both"/>
      </w:pPr>
      <w:r>
        <w:rPr>
          <w:rFonts w:ascii="Times New Roman" w:hAnsi="Times New Roman"/>
          <w:b w:val="false"/>
          <w:i w:val="false"/>
          <w:color w:val="000000"/>
          <w:sz w:val="22"/>
        </w:rPr>
        <w:t>(d) Property damage to any property owned, rented, loaned to, in the care, custody, or control of, or occupied by [insert owner or operator] that is not the direct result of a release from a petroleum underground storage tank;</w:t>
      </w:r>
    </w:p>
    <w:p>
      <w:pPr>
        <w:spacing w:before="0" w:after="0"/>
        <w:ind w:left="356"/>
        <w:jc w:val="both"/>
      </w:pPr>
      <w:r>
        <w:rPr>
          <w:rFonts w:ascii="Times New Roman" w:hAnsi="Times New Roman"/>
          <w:b w:val="false"/>
          <w:i w:val="false"/>
          <w:color w:val="000000"/>
          <w:sz w:val="22"/>
        </w:rPr>
        <w:t xml:space="preserve">(e) Bodily damage or property damage for which [insert owner or operator] is obligated to pay damages by reason of the assumption of liability in a contract or agreement other than a contract or agreement entered into to meet the requirements of </w:t>
      </w:r>
      <w:hyperlink r:id="rId60">
        <w:r>
          <w:rPr>
            <w:rStyle w:val="Hyperlink"/>
            <w:rFonts w:ascii="Times New Roman" w:hAnsi="Times New Roman"/>
            <w:b w:val="false"/>
            <w:i w:val="false"/>
            <w:color w:val="000000"/>
            <w:sz w:val="22"/>
          </w:rPr>
          <w:t>rule 567—136.4(455B)</w:t>
        </w:r>
      </w:hyperlink>
      <w:r>
        <w:rPr>
          <w:rFonts w:ascii="Times New Roman" w:hAnsi="Times New Roman"/>
          <w:b w:val="false"/>
          <w:i w:val="false"/>
          <w:color w:val="000000"/>
          <w:sz w:val="22"/>
        </w:rPr>
        <w:t>.</w:t>
      </w:r>
    </w:p>
    <w:p>
      <w:pPr>
        <w:spacing w:before="0" w:after="0"/>
        <w:ind w:left="356"/>
        <w:jc w:val="both"/>
      </w:pPr>
      <w:r>
        <w:rPr>
          <w:rFonts w:ascii="Times New Roman" w:hAnsi="Times New Roman"/>
          <w:b w:val="false"/>
          <w:i w:val="false"/>
          <w:color w:val="000000"/>
          <w:sz w:val="22"/>
        </w:rPr>
        <w:t>9. Guarantor expressly waives notice of acceptance of this guarantee by the Iowa Department of Natural Resources, by any or all third parties, or by [owner or operator].</w:t>
      </w:r>
    </w:p>
    <w:p>
      <w:pPr>
        <w:spacing w:before="0" w:after="0"/>
        <w:ind w:left="356"/>
        <w:jc w:val="both"/>
      </w:pPr>
      <w:r>
        <w:rPr>
          <w:rFonts w:ascii="Times New Roman" w:hAnsi="Times New Roman"/>
          <w:b w:val="false"/>
          <w:i w:val="false"/>
          <w:color w:val="000000"/>
          <w:sz w:val="22"/>
        </w:rPr>
        <w:t xml:space="preserve">I hereby certify that the wording of this guarantee is identical to the wording specified in </w:t>
      </w:r>
      <w:hyperlink r:id="rId61">
        <w:r>
          <w:rPr>
            <w:rStyle w:val="Hyperlink"/>
            <w:rFonts w:ascii="Times New Roman" w:hAnsi="Times New Roman"/>
            <w:b w:val="false"/>
            <w:i w:val="false"/>
            <w:color w:val="000000"/>
            <w:sz w:val="22"/>
          </w:rPr>
          <w:t>subrule 567—136.7(3)</w:t>
        </w:r>
      </w:hyperlink>
      <w:r>
        <w:rPr>
          <w:rFonts w:ascii="Times New Roman" w:hAnsi="Times New Roman"/>
          <w:b w:val="false"/>
          <w:i w:val="false"/>
          <w:color w:val="000000"/>
          <w:sz w:val="22"/>
        </w:rPr>
        <w:t xml:space="preserve"> as such regulations were constituted on the effective date shown immediately below.</w:t>
      </w:r>
    </w:p>
    <w:p>
      <w:pPr>
        <w:spacing w:before="0" w:after="0"/>
        <w:ind w:left="356"/>
        <w:jc w:val="both"/>
      </w:pPr>
      <w:r>
        <w:rPr>
          <w:rFonts w:ascii="Times New Roman" w:hAnsi="Times New Roman"/>
          <w:b w:val="false"/>
          <w:i w:val="false"/>
          <w:color w:val="000000"/>
          <w:sz w:val="22"/>
        </w:rPr>
        <w:t xml:space="preserve">Effective date: </w:t>
      </w:r>
    </w:p>
    <w:p>
      <w:pPr>
        <w:spacing w:before="0" w:after="0"/>
        <w:ind w:left="356"/>
        <w:jc w:val="both"/>
      </w:pPr>
      <w:r>
        <w:rPr>
          <w:rFonts w:ascii="Times New Roman" w:hAnsi="Times New Roman"/>
          <w:b w:val="false"/>
          <w:i w:val="false"/>
          <w:color w:val="000000"/>
          <w:sz w:val="22"/>
        </w:rPr>
        <w:t>[Name of guarantor]</w:t>
      </w:r>
    </w:p>
    <w:p>
      <w:pPr>
        <w:spacing w:before="0" w:after="0"/>
        <w:ind w:left="356"/>
        <w:jc w:val="both"/>
      </w:pPr>
      <w:r>
        <w:rPr>
          <w:rFonts w:ascii="Times New Roman" w:hAnsi="Times New Roman"/>
          <w:b w:val="false"/>
          <w:i w:val="false"/>
          <w:color w:val="000000"/>
          <w:sz w:val="22"/>
        </w:rPr>
        <w:t>[Authorized signature for guarantor]</w:t>
      </w:r>
    </w:p>
    <w:p>
      <w:pPr>
        <w:spacing w:before="0" w:after="0"/>
        <w:ind w:left="356"/>
        <w:jc w:val="both"/>
      </w:pPr>
      <w:r>
        <w:rPr>
          <w:rFonts w:ascii="Times New Roman" w:hAnsi="Times New Roman"/>
          <w:b w:val="false"/>
          <w:i w:val="false"/>
          <w:color w:val="000000"/>
          <w:sz w:val="22"/>
        </w:rPr>
        <w:t>[Name of person signing]</w:t>
      </w:r>
    </w:p>
    <w:p>
      <w:pPr>
        <w:spacing w:before="0" w:after="0"/>
        <w:ind w:left="356"/>
        <w:jc w:val="both"/>
      </w:pPr>
      <w:r>
        <w:rPr>
          <w:rFonts w:ascii="Times New Roman" w:hAnsi="Times New Roman"/>
          <w:b w:val="false"/>
          <w:i w:val="false"/>
          <w:color w:val="000000"/>
          <w:sz w:val="22"/>
        </w:rPr>
        <w:t>[Title of person signing]</w:t>
      </w:r>
    </w:p>
    <w:p>
      <w:pPr>
        <w:spacing w:before="0" w:after="0"/>
        <w:ind w:left="356"/>
        <w:jc w:val="both"/>
      </w:pPr>
      <w:r>
        <w:rPr>
          <w:rFonts w:ascii="Times New Roman" w:hAnsi="Times New Roman"/>
          <w:b w:val="false"/>
          <w:i w:val="false"/>
          <w:color w:val="000000"/>
          <w:sz w:val="22"/>
        </w:rPr>
        <w:t xml:space="preserve">Signature of witness or notary: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136.7(4)</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uses a guarantee to satisfy the requirements of </w:t>
      </w:r>
      <w:hyperlink r:id="rId62">
        <w:r>
          <w:rPr>
            <w:rStyle w:val="Hyperlink"/>
            <w:rFonts w:ascii="Times New Roman" w:hAnsi="Times New Roman"/>
            <w:b w:val="false"/>
            <w:i w:val="false"/>
            <w:color w:val="000000"/>
            <w:sz w:val="22"/>
          </w:rPr>
          <w:t>rule 567—136.4(455B)</w:t>
        </w:r>
      </w:hyperlink>
      <w:r>
        <w:rPr>
          <w:rFonts w:ascii="Times New Roman" w:hAnsi="Times New Roman"/>
          <w:b w:val="false"/>
          <w:i w:val="false"/>
          <w:color w:val="000000"/>
          <w:sz w:val="22"/>
        </w:rPr>
        <w:t xml:space="preserve"> must establish a standby trust fund when the guarantee is obtained. Under the terms of the guarantee, all amounts paid by the guarantor under the guarantee will be deposited directly into the standby trust fund in accordance with instructions from the director under </w:t>
      </w:r>
      <w:hyperlink r:id="rId63">
        <w:r>
          <w:rPr>
            <w:rStyle w:val="Hyperlink"/>
            <w:rFonts w:ascii="Times New Roman" w:hAnsi="Times New Roman"/>
            <w:b w:val="false"/>
            <w:i w:val="false"/>
            <w:color w:val="000000"/>
            <w:sz w:val="22"/>
          </w:rPr>
          <w:t>rule 567—136.21(455B)</w:t>
        </w:r>
      </w:hyperlink>
      <w:r>
        <w:rPr>
          <w:rFonts w:ascii="Times New Roman" w:hAnsi="Times New Roman"/>
          <w:b w:val="false"/>
          <w:i w:val="false"/>
          <w:color w:val="000000"/>
          <w:sz w:val="22"/>
        </w:rPr>
        <w:t xml:space="preserve">. This standby trust fund must meet the requirements specified in </w:t>
      </w:r>
      <w:hyperlink r:id="rId64">
        <w:r>
          <w:rPr>
            <w:rStyle w:val="Hyperlink"/>
            <w:rFonts w:ascii="Times New Roman" w:hAnsi="Times New Roman"/>
            <w:b w:val="false"/>
            <w:i w:val="false"/>
            <w:color w:val="000000"/>
            <w:sz w:val="22"/>
          </w:rPr>
          <w:t>rule 567—136.12(455B)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567—136.8</w:t>
      </w:r>
      <w:r>
        <w:rPr>
          <w:rFonts w:ascii="Times New Roman" w:hAnsi="Times New Roman"/>
          <w:b/>
          <w:i w:val="false"/>
          <w:color w:val="000000"/>
          <w:sz w:val="22"/>
        </w:rPr>
        <w:t xml:space="preserve">(455B) </w:t>
      </w:r>
      <w:r>
        <w:rPr>
          <w:rFonts w:ascii="Times New Roman" w:hAnsi="Times New Roman"/>
          <w:b/>
          <w:i w:val="false"/>
          <w:color w:val="000000"/>
          <w:sz w:val="22"/>
        </w:rPr>
        <w:t xml:space="preserve">Insurance and risk retention group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136.8(1)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satisfy the requirements of rule 567—</w:t>
      </w:r>
      <w:hyperlink r:id="rId65">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obtaining liability insurance that conforms to the requirements of this rule from a qualified insurer or risk retention group. Such insurance may be in the form of a separate insurance policy or an endorsement to an existing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136.8(2)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insurance policy must be amended by an endorsement worded as specified in </w:t>
      </w:r>
      <w:hyperlink r:id="rId66">
        <w:r>
          <w:rPr>
            <w:rStyle w:val="Hyperlink"/>
            <w:rFonts w:ascii="Times New Roman" w:hAnsi="Times New Roman"/>
            <w:b w:val="false"/>
            <w:i w:val="false"/>
            <w:color w:val="000000"/>
            <w:sz w:val="22"/>
          </w:rPr>
          <w:t>136.8(2)</w:t>
        </w:r>
      </w:hyperlink>
      <w:r>
        <w:rPr>
          <w:rFonts w:ascii="Times New Roman" w:hAnsi="Times New Roman"/>
          <w:b w:val="false"/>
          <w:i/>
          <w:color w:val="000000"/>
          <w:sz w:val="22"/>
        </w:rPr>
        <w:t>“a”</w:t>
      </w:r>
      <w:r>
        <w:rPr>
          <w:rFonts w:ascii="Times New Roman" w:hAnsi="Times New Roman"/>
          <w:b w:val="false"/>
          <w:i w:val="false"/>
          <w:color w:val="000000"/>
          <w:sz w:val="22"/>
        </w:rPr>
        <w:t xml:space="preserve"> “ENDORSEMENT” or evidenced by a certificate of insurance worded as specified in </w:t>
      </w:r>
      <w:hyperlink r:id="rId67">
        <w:r>
          <w:rPr>
            <w:rStyle w:val="Hyperlink"/>
            <w:rFonts w:ascii="Times New Roman" w:hAnsi="Times New Roman"/>
            <w:b w:val="false"/>
            <w:i w:val="false"/>
            <w:color w:val="000000"/>
            <w:sz w:val="22"/>
          </w:rPr>
          <w:t>136.8(2)</w:t>
        </w:r>
      </w:hyperlink>
      <w:r>
        <w:rPr>
          <w:rFonts w:ascii="Times New Roman" w:hAnsi="Times New Roman"/>
          <w:b w:val="false"/>
          <w:i/>
          <w:color w:val="000000"/>
          <w:sz w:val="22"/>
        </w:rPr>
        <w:t>“b”</w:t>
      </w:r>
      <w:r>
        <w:rPr>
          <w:rFonts w:ascii="Times New Roman" w:hAnsi="Times New Roman"/>
          <w:b w:val="false"/>
          <w:i w:val="false"/>
          <w:color w:val="000000"/>
          <w:sz w:val="22"/>
        </w:rPr>
        <w:t xml:space="preserve"> “CERTIFICATE OF INSURANCE,” except that instructions in brackets must be replaced with the relevant information and the brackets deleted:</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ENDORSEMENT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Address: _________________</w:t>
      </w:r>
      <w:r>
        <w:rPr>
          <w:rFonts w:ascii="Times New Roman" w:hAnsi="Times New Roman"/>
          <w:b w:val="false"/>
          <w:i w:val="false"/>
          <w:color w:val="000000"/>
          <w:sz w:val="22"/>
          <w:u w:val="single"/>
        </w:rPr>
        <w:t>[address of each covered location]</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Policy Number: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Period of Coverage: _________________</w:t>
      </w:r>
      <w:r>
        <w:rPr>
          <w:rFonts w:ascii="Times New Roman" w:hAnsi="Times New Roman"/>
          <w:b w:val="false"/>
          <w:i w:val="false"/>
          <w:color w:val="000000"/>
          <w:sz w:val="22"/>
          <w:u w:val="single"/>
        </w:rPr>
        <w:t>[current policy period]</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 of [Insurer or Risk Retention Group]:</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Address of [Insurer or Risk Retention Group]:</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Name of Insured: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Address of Insured: </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endorsement certifies that the policy to which the endorsement is attached provides liability insurance covering the following underground storage tanks:</w:t>
      </w:r>
    </w:p>
    <w:p>
      <w:pPr>
        <w:spacing w:before="0" w:after="0"/>
        <w:ind w:left="356"/>
        <w:jc w:val="both"/>
      </w:pPr>
      <w:r>
        <w:rPr>
          <w:rFonts w:ascii="Times New Roman" w:hAnsi="Times New Roman"/>
          <w:b w:val="false"/>
          <w:i w:val="false"/>
          <w:color w:val="000000"/>
          <w:sz w:val="22"/>
        </w:rPr>
        <w:t xml:space="preserve">[List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68">
        <w:r>
          <w:rPr>
            <w:rStyle w:val="Hyperlink"/>
            <w:rFonts w:ascii="Times New Roman" w:hAnsi="Times New Roman"/>
            <w:b w:val="false"/>
            <w:i w:val="false"/>
            <w:color w:val="000000"/>
            <w:sz w:val="22"/>
          </w:rPr>
          <w:t>567—subrule 135.3(3)</w:t>
        </w:r>
      </w:hyperlink>
      <w:r>
        <w:rPr>
          <w:rFonts w:ascii="Times New Roman" w:hAnsi="Times New Roman"/>
          <w:b w:val="false"/>
          <w:i w:val="false"/>
          <w:color w:val="000000"/>
          <w:sz w:val="22"/>
        </w:rPr>
        <w:t xml:space="preserve"> and the name and address of the facility.]</w:t>
      </w:r>
    </w:p>
    <w:p>
      <w:pPr>
        <w:spacing w:before="0" w:after="0"/>
        <w:ind w:left="120"/>
        <w:jc w:val="both"/>
      </w:pPr>
      <w:r>
        <w:rPr>
          <w:rFonts w:ascii="Times New Roman" w:hAnsi="Times New Roman"/>
          <w:b w:val="false"/>
          <w:i w:val="false"/>
          <w:color w:val="000000"/>
          <w:sz w:val="22"/>
        </w:rPr>
        <w:t>for [insert: “taking corrective action” and/or “compensating third parties for bodily injury and property damage caused by” either “sudden accidental releases” or “nonsudden accidental releases” or “accidental release; in accordance with and subject to the limits of liability, exclusions, conditions, and other terms of the policy”; if coverage is different for different tanks or locations, indicate the type of coverage applicable to each tank or location] arising from operating the underground storage tank(s) identified above.</w:t>
      </w:r>
    </w:p>
    <w:p>
      <w:pPr>
        <w:spacing w:before="0" w:after="0"/>
        <w:ind w:left="120"/>
        <w:jc w:val="both"/>
      </w:pPr>
      <w:r>
        <w:rPr>
          <w:rFonts w:ascii="Times New Roman" w:hAnsi="Times New Roman"/>
          <w:b w:val="false"/>
          <w:i w:val="false"/>
          <w:color w:val="000000"/>
          <w:sz w:val="22"/>
        </w:rPr>
        <w:t>The limits of liability are [insert the dollar amount of the “each occurrence” and “annual aggregate” limits of the Insurer’s or Group’s liability; if the amount of coverage is different for different types of coverage or for different underground storage tanks or locations, indicate the amount of coverage for each type of coverage and/or for each underground storage tank or location], exclusive of legal defense costs, which are subject to a separate limit under the policy. This coverage is provided under [policy number]. The effective date of said policy is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insurance afforded with respect to such occurrences is subject to all of the terms and conditions of the policy; provided, however, that any provisions inconsistent with numbered paragraphs “1” to “7” of this subparagraph are hereby amended to conform with numbered paragraphs “1” to “7”: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Bankruptcy or insolvency of the insured shall not relieve the [“Insurer” or “Group”] of its obligation under the policy to which this endorsement is attached.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[“Insurer” or “Group”] is liable for the payment of amounts within any deductible applicable to the policy to the provider of corrective action or a damaged third party, with a right of reimbursement by the insured for any such payment made by the [“Insurer” or “Group”]. This provision does not apply with respect to that amount of any deductible for which coverage is demonstrated under another mechanism or combination of mechanisms as specified in rules </w:t>
      </w:r>
      <w:hyperlink r:id="rId69">
        <w:r>
          <w:rPr>
            <w:rStyle w:val="Hyperlink"/>
            <w:rFonts w:ascii="Times New Roman" w:hAnsi="Times New Roman"/>
            <w:b w:val="false"/>
            <w:i w:val="false"/>
            <w:color w:val="000000"/>
            <w:sz w:val="22"/>
          </w:rPr>
          <w:t>567—136.6</w:t>
        </w:r>
      </w:hyperlink>
      <w:r>
        <w:rPr>
          <w:rFonts w:ascii="Times New Roman" w:hAnsi="Times New Roman"/>
          <w:b w:val="false"/>
          <w:i w:val="false"/>
          <w:color w:val="000000"/>
          <w:sz w:val="22"/>
        </w:rPr>
        <w:t xml:space="preserve">(455B) to </w:t>
      </w:r>
      <w:hyperlink r:id="rId70">
        <w:r>
          <w:rPr>
            <w:rStyle w:val="Hyperlink"/>
            <w:rFonts w:ascii="Times New Roman" w:hAnsi="Times New Roman"/>
            <w:b w:val="false"/>
            <w:i w:val="false"/>
            <w:color w:val="000000"/>
            <w:sz w:val="22"/>
          </w:rPr>
          <w:t>567—136.17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Whenever requested by the Director of the Iowa Department of Natural Resources, the [“Insurer” or “Group”] agrees to furnish to the director a signed duplicate original of the policy and all endorsements.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Cancellation or any other termination of the insurance by the [“Insurer” or “Group”] except for nonpayment of premium or misrepresentation by the insured will be effective only upon written notice and only after the expiration of 60 days after a copy of such written notice is received by the insured. Cancellation for nonpayment of premium or misrepresentation by the insured will be effective only upon written notice and only after expiration of a minimum of ten days after a copy of such written notice is received by the insured.</w:t>
      </w:r>
    </w:p>
    <w:p>
      <w:pPr>
        <w:spacing w:before="0" w:after="0"/>
        <w:ind w:left="120"/>
        <w:jc w:val="both"/>
      </w:pPr>
      <w:r>
        <w:rPr>
          <w:rFonts w:ascii="Times New Roman" w:hAnsi="Times New Roman"/>
          <w:b w:val="false"/>
          <w:i w:val="false"/>
          <w:color w:val="000000"/>
          <w:sz w:val="22"/>
        </w:rPr>
        <w:t>Insert for claims-made policies: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insurance covers claims otherwise covered by the policy that are reported to the [“Insurer” or “Group”] within six months of the effective date of cancellation or nonrenewal of the policy except where the new or renewed policy has the same retroactive date or a retroactive date earlier than that of the previous policy, and which arise out of any covered occurrence that commenced after the policy retroactive date, if applicable, and prior to such policy renewal or termination date. Claims reported during such extended reporting period are subject to the terms, conditions, limits, including limits of liability, and exclusions of the policy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[“Insurer” “Group”] will notify the insured and any additional named insureds of the six-month extended reporting expiration date as provided in paragraph </w:t>
      </w:r>
      <w:hyperlink r:id="rId71">
        <w:r>
          <w:rPr>
            <w:rStyle w:val="Hyperlink"/>
            <w:rFonts w:ascii="Times New Roman" w:hAnsi="Times New Roman"/>
            <w:b w:val="false"/>
            <w:i w:val="false"/>
            <w:color w:val="000000"/>
            <w:sz w:val="22"/>
          </w:rPr>
          <w:t>136.8(2)</w:t>
        </w:r>
      </w:hyperlink>
      <w:r>
        <w:rPr>
          <w:rFonts w:ascii="Times New Roman" w:hAnsi="Times New Roman"/>
          <w:b w:val="false"/>
          <w:i/>
          <w:color w:val="000000"/>
          <w:sz w:val="22"/>
        </w:rPr>
        <w:t>“a”</w:t>
      </w:r>
      <w:r>
        <w:rPr>
          <w:rFonts w:ascii="Times New Roman" w:hAnsi="Times New Roman"/>
          <w:b w:val="false"/>
          <w:i w:val="false"/>
          <w:color w:val="000000"/>
          <w:sz w:val="22"/>
        </w:rPr>
        <w:t xml:space="preserve">(2)“5” in any written final cancellation or nonrenewal notice in accordance with rule </w:t>
      </w:r>
      <w:hyperlink r:id="rId72">
        <w:r>
          <w:rPr>
            <w:rStyle w:val="Hyperlink"/>
            <w:rFonts w:ascii="Times New Roman" w:hAnsi="Times New Roman"/>
            <w:b w:val="false"/>
            <w:i w:val="false"/>
            <w:color w:val="000000"/>
            <w:sz w:val="22"/>
          </w:rPr>
          <w:t>567—136.18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Timely notice of a release and claim for coverage to the insurer by the Iowa Department of Natural Resources shall be deemed sufficient notice on behalf of the insured under the terms, conditions, and exclusions of this policy. Notice by the department does not modify or enlarge the terms, conditions and exclusions of coverage but is only intended to preserve coverage to which the insured may otherwise be entitled under the policy.</w:t>
      </w:r>
    </w:p>
    <w:p>
      <w:pPr>
        <w:spacing w:before="0" w:after="0"/>
        <w:ind w:left="120"/>
        <w:jc w:val="both"/>
      </w:pPr>
      <w:r>
        <w:rPr>
          <w:rFonts w:ascii="Times New Roman" w:hAnsi="Times New Roman"/>
          <w:b w:val="false"/>
          <w:i w:val="false"/>
          <w:color w:val="000000"/>
          <w:sz w:val="22"/>
        </w:rPr>
        <w:t xml:space="preserve">I hereby certify that the wording of this instrument is identical to the wording in </w:t>
      </w:r>
      <w:hyperlink r:id="rId73">
        <w:r>
          <w:rPr>
            <w:rStyle w:val="Hyperlink"/>
            <w:rFonts w:ascii="Times New Roman" w:hAnsi="Times New Roman"/>
            <w:b w:val="false"/>
            <w:i w:val="false"/>
            <w:color w:val="000000"/>
            <w:sz w:val="22"/>
          </w:rPr>
          <w:t>567—subrule 136.8(2)</w:t>
        </w:r>
      </w:hyperlink>
      <w:r>
        <w:rPr>
          <w:rFonts w:ascii="Times New Roman" w:hAnsi="Times New Roman"/>
          <w:b w:val="false"/>
          <w:i w:val="false"/>
          <w:color w:val="000000"/>
          <w:sz w:val="22"/>
        </w:rPr>
        <w:t xml:space="preserve"> “ENDORSEMENT” and that the [“Insurer” or “Group”] is [licensed to transact the business of insurance or eligible to provide insurance as an excess or surplus lines insurer in one or more states].</w:t>
      </w:r>
    </w:p>
    <w:p>
      <w:pPr>
        <w:spacing w:before="0" w:after="0"/>
        <w:ind w:left="356"/>
        <w:jc w:val="both"/>
      </w:pPr>
      <w:r>
        <w:rPr>
          <w:rFonts w:ascii="Times New Roman" w:hAnsi="Times New Roman"/>
          <w:b w:val="false"/>
          <w:i w:val="false"/>
          <w:color w:val="000000"/>
          <w:sz w:val="22"/>
        </w:rPr>
        <w:t>[Signature of authorized representative of Insurer or Risk Retention Group]</w:t>
      </w:r>
    </w:p>
    <w:p>
      <w:pPr>
        <w:spacing w:before="0" w:after="0"/>
        <w:ind w:left="356"/>
        <w:jc w:val="both"/>
      </w:pPr>
      <w:r>
        <w:rPr>
          <w:rFonts w:ascii="Times New Roman" w:hAnsi="Times New Roman"/>
          <w:b w:val="false"/>
          <w:i w:val="false"/>
          <w:color w:val="000000"/>
          <w:sz w:val="22"/>
        </w:rPr>
        <w:t>[Name of person signing]</w:t>
      </w:r>
    </w:p>
    <w:p>
      <w:pPr>
        <w:spacing w:before="0" w:after="0"/>
        <w:ind w:left="356"/>
        <w:jc w:val="both"/>
      </w:pPr>
      <w:r>
        <w:rPr>
          <w:rFonts w:ascii="Times New Roman" w:hAnsi="Times New Roman"/>
          <w:b w:val="false"/>
          <w:i w:val="false"/>
          <w:color w:val="000000"/>
          <w:sz w:val="22"/>
        </w:rPr>
        <w:t>[Title of person signing], Authorized Representative of [name of Insurer or Risk Retention Group]</w:t>
      </w:r>
    </w:p>
    <w:p>
      <w:pPr>
        <w:spacing w:before="0" w:after="0"/>
        <w:ind w:left="356"/>
        <w:jc w:val="both"/>
      </w:pPr>
      <w:r>
        <w:rPr>
          <w:rFonts w:ascii="Times New Roman" w:hAnsi="Times New Roman"/>
          <w:b w:val="false"/>
          <w:i w:val="false"/>
          <w:color w:val="000000"/>
          <w:sz w:val="22"/>
        </w:rPr>
        <w:t>[Address of Representative]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INSURANCE</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 ___________________</w:t>
      </w:r>
      <w:r>
        <w:rPr>
          <w:rFonts w:ascii="Times New Roman" w:hAnsi="Times New Roman"/>
          <w:b w:val="false"/>
          <w:i w:val="false"/>
          <w:color w:val="000000"/>
          <w:sz w:val="22"/>
          <w:u w:val="single"/>
        </w:rPr>
        <w:t>[name of each covered location]</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Address: ___________________</w:t>
      </w:r>
      <w:r>
        <w:rPr>
          <w:rFonts w:ascii="Times New Roman" w:hAnsi="Times New Roman"/>
          <w:b w:val="false"/>
          <w:i w:val="false"/>
          <w:color w:val="000000"/>
          <w:sz w:val="22"/>
          <w:u w:val="single"/>
        </w:rPr>
        <w:t>[address of each covered location]</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Policy Number: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Endorsement (if applicable):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Period of Coverage: ____________________</w:t>
      </w:r>
      <w:r>
        <w:rPr>
          <w:rFonts w:ascii="Times New Roman" w:hAnsi="Times New Roman"/>
          <w:b w:val="false"/>
          <w:i w:val="false"/>
          <w:color w:val="000000"/>
          <w:sz w:val="22"/>
          <w:u w:val="single"/>
        </w:rPr>
        <w:t>[current policy period]</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 of [Insurer or Risk Retention Group]:</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Address of [Insurer or Risk Retention Group]:</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Name of Insured: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Address of Insured: </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Insurer or Risk Retention Group], [the “Insurer” or “Group”], except for the nonpayment of premium or misrepresentation by the insured, as identified above, hereby certifies that it has issued liability insurance covering the following underground storage tank(s):</w:t>
      </w:r>
    </w:p>
    <w:p>
      <w:pPr>
        <w:spacing w:before="0" w:after="0"/>
        <w:ind w:left="356"/>
        <w:jc w:val="both"/>
      </w:pPr>
      <w:r>
        <w:rPr>
          <w:rFonts w:ascii="Times New Roman" w:hAnsi="Times New Roman"/>
          <w:b w:val="false"/>
          <w:i w:val="false"/>
          <w:color w:val="000000"/>
          <w:sz w:val="22"/>
        </w:rPr>
        <w:t xml:space="preserve">[List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74">
        <w:r>
          <w:rPr>
            <w:rStyle w:val="Hyperlink"/>
            <w:rFonts w:ascii="Times New Roman" w:hAnsi="Times New Roman"/>
            <w:b w:val="false"/>
            <w:i w:val="false"/>
            <w:color w:val="000000"/>
            <w:sz w:val="22"/>
          </w:rPr>
          <w:t>567—subrule 135.3(3)</w:t>
        </w:r>
      </w:hyperlink>
      <w:r>
        <w:rPr>
          <w:rFonts w:ascii="Times New Roman" w:hAnsi="Times New Roman"/>
          <w:b w:val="false"/>
          <w:i w:val="false"/>
          <w:color w:val="000000"/>
          <w:sz w:val="22"/>
        </w:rPr>
        <w:t xml:space="preserve"> and the name and address of the facility.]</w:t>
      </w:r>
    </w:p>
    <w:p>
      <w:pPr>
        <w:spacing w:before="0" w:after="0"/>
        <w:ind w:left="120"/>
        <w:jc w:val="both"/>
      </w:pPr>
      <w:r>
        <w:rPr>
          <w:rFonts w:ascii="Times New Roman" w:hAnsi="Times New Roman"/>
          <w:b w:val="false"/>
          <w:i w:val="false"/>
          <w:color w:val="000000"/>
          <w:sz w:val="22"/>
        </w:rPr>
        <w:t>for [insert: “taking corrective action” and/or “compensating third parties for bodily injury and property damage caused by” either “sudden accidental releases” or “nonsudden accidental releases” or “accidental release; in accordance with and subject to the limits of liability, exclusions, conditions, and other terms of the policy”; if coverage is different for different tanks or locations, indicate the type of coverage applicable to each tank or location] arising from operating the underground storage tank(s) identified above.</w:t>
      </w:r>
    </w:p>
    <w:p>
      <w:pPr>
        <w:spacing w:before="0" w:after="0"/>
        <w:ind w:left="120"/>
        <w:jc w:val="both"/>
      </w:pPr>
      <w:r>
        <w:rPr>
          <w:rFonts w:ascii="Times New Roman" w:hAnsi="Times New Roman"/>
          <w:b w:val="false"/>
          <w:i w:val="false"/>
          <w:color w:val="000000"/>
          <w:sz w:val="22"/>
        </w:rPr>
        <w:t>The limits of liability are [insert the dollar amount of the “each occurrence” and “annual aggregate” limits of the Insurer’s or Group’s liability; if the amount of coverage is different for different types of coverage or for different underground storage tanks or locations, indicate the amount of coverage for each type of coverage and/or for each underground storage tank or location], exclusive of legal defense costs which are subject to a separate limit under the policy. This coverage is provided under [policy number]. The effective date of said policy is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or “Group”] further certifies the following with respect to the insurance described in subparagraph (1):</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Bankruptcy or insolvency of the insured shall not relieve the [“Insurer” or “Group”] of its obligations under the policy to which this certificate applies.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[“Insurer” or “Group”] is liable for the payment of amounts within any deductible applicable to the policy to the provider of corrective action or a damaged third party, with a right of reimbursement by the insured for any such payment made by the [“Insurer” or “Group”]. This provision does not apply with respect to that amount of any deductible for which coverage is demonstrated under another mechanism or combination of mechanisms as specified in </w:t>
      </w:r>
      <w:hyperlink r:id="rId75">
        <w:r>
          <w:rPr>
            <w:rStyle w:val="Hyperlink"/>
            <w:rFonts w:ascii="Times New Roman" w:hAnsi="Times New Roman"/>
            <w:b w:val="false"/>
            <w:i w:val="false"/>
            <w:color w:val="000000"/>
            <w:sz w:val="22"/>
          </w:rPr>
          <w:t>567—136.6</w:t>
        </w:r>
      </w:hyperlink>
      <w:r>
        <w:rPr>
          <w:rFonts w:ascii="Times New Roman" w:hAnsi="Times New Roman"/>
          <w:b w:val="false"/>
          <w:i w:val="false"/>
          <w:color w:val="000000"/>
          <w:sz w:val="22"/>
        </w:rPr>
        <w:t>(455B) to 567—</w:t>
      </w:r>
      <w:hyperlink r:id="rId76">
        <w:r>
          <w:rPr>
            <w:rStyle w:val="Hyperlink"/>
            <w:rFonts w:ascii="Times New Roman" w:hAnsi="Times New Roman"/>
            <w:b w:val="false"/>
            <w:i w:val="false"/>
            <w:color w:val="000000"/>
            <w:sz w:val="22"/>
          </w:rPr>
          <w:t>136.17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Whenever requested by the Director of the Iowa Department of Natural Resources, the [“Insurer” or “Group”] agrees to furnish to the director a signed duplicate original of the policy and all endorsements.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Cancellation or any other termination of the insurance by the [“Insurer” or “Group”] except for nonpayment of premium or misrepresentation by the insured will be effective only upon written notice and only after the expiration of 60 days after a copy of such written notice is received by the insured. Cancellation for nonpayment of premium or misrepresentation by the insured will be effective only upon written notice and only after expiration of a minimum of 10 days after a copy of such written notice is received by the insured.</w:t>
      </w:r>
    </w:p>
    <w:p>
      <w:pPr>
        <w:spacing w:before="0" w:after="0"/>
        <w:ind w:left="120"/>
        <w:jc w:val="both"/>
      </w:pPr>
      <w:r>
        <w:rPr>
          <w:rFonts w:ascii="Times New Roman" w:hAnsi="Times New Roman"/>
          <w:b w:val="false"/>
          <w:i w:val="false"/>
          <w:color w:val="000000"/>
          <w:sz w:val="22"/>
        </w:rPr>
        <w:t>Insert for claims-made policies: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insurance covers claims otherwise covered by the policy that are reported to the [“Insured” or “Group”] within six months of the effective date of cancellation or nonrenewal of the policy except where the new or renewed policy has the same retroactive date or a retroactive date earlier than that of the prior policy, and which arise out of any covered occurrence that commenced after the policy retroactive date, if applicable, and prior to such policy renewal or termination date. Claims reported during such extended reporting period are subject to the terms, conditions, limits, including limits of liability, and exclusions of the policy.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[“Insurer” or “Group”] will notify the insured and any additional named insured of the six-month extended reporting expiration date as provided in paragraph </w:t>
      </w:r>
      <w:hyperlink r:id="rId77">
        <w:r>
          <w:rPr>
            <w:rStyle w:val="Hyperlink"/>
            <w:rFonts w:ascii="Times New Roman" w:hAnsi="Times New Roman"/>
            <w:b w:val="false"/>
            <w:i w:val="false"/>
            <w:color w:val="000000"/>
            <w:sz w:val="22"/>
          </w:rPr>
          <w:t>136.8(2)</w:t>
        </w:r>
      </w:hyperlink>
      <w:r>
        <w:rPr>
          <w:rFonts w:ascii="Times New Roman" w:hAnsi="Times New Roman"/>
          <w:b w:val="false"/>
          <w:i/>
          <w:color w:val="000000"/>
          <w:sz w:val="22"/>
        </w:rPr>
        <w:t>“b”</w:t>
      </w:r>
      <w:r>
        <w:rPr>
          <w:rFonts w:ascii="Times New Roman" w:hAnsi="Times New Roman"/>
          <w:b w:val="false"/>
          <w:i w:val="false"/>
          <w:color w:val="000000"/>
          <w:sz w:val="22"/>
        </w:rPr>
        <w:t xml:space="preserve">(2)“5” in any written final cancellation or nonrenewal notice in accordance with rule </w:t>
      </w:r>
      <w:hyperlink r:id="rId78">
        <w:r>
          <w:rPr>
            <w:rStyle w:val="Hyperlink"/>
            <w:rFonts w:ascii="Times New Roman" w:hAnsi="Times New Roman"/>
            <w:b w:val="false"/>
            <w:i w:val="false"/>
            <w:color w:val="000000"/>
            <w:sz w:val="22"/>
          </w:rPr>
          <w:t>567—136.18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Timely notice of a release and claim for coverage to the insurer by the Iowa Department of Natural Resources shall be deemed sufficient notice on behalf of the insured under the terms, conditions and exclusions of this policy. Notice by the department does not modify or enlarge the terms, conditions and exclusions of coverage but is only intended to preserve coverage to which the insured may otherwise be entitled under the policy.</w:t>
      </w:r>
    </w:p>
    <w:p>
      <w:pPr>
        <w:spacing w:before="0" w:after="0"/>
        <w:ind w:left="356"/>
        <w:jc w:val="both"/>
      </w:pPr>
      <w:r>
        <w:rPr>
          <w:rFonts w:ascii="Times New Roman" w:hAnsi="Times New Roman"/>
          <w:b w:val="false"/>
          <w:i w:val="false"/>
          <w:color w:val="000000"/>
          <w:sz w:val="22"/>
        </w:rPr>
        <w:t xml:space="preserve">I hereby certify that the wording of this instrument is identical to the wording in </w:t>
      </w:r>
      <w:hyperlink r:id="rId79">
        <w:r>
          <w:rPr>
            <w:rStyle w:val="Hyperlink"/>
            <w:rFonts w:ascii="Times New Roman" w:hAnsi="Times New Roman"/>
            <w:b w:val="false"/>
            <w:i w:val="false"/>
            <w:color w:val="000000"/>
            <w:sz w:val="22"/>
          </w:rPr>
          <w:t>567—subrule 136.8(2)</w:t>
        </w:r>
      </w:hyperlink>
      <w:r>
        <w:rPr>
          <w:rFonts w:ascii="Times New Roman" w:hAnsi="Times New Roman"/>
          <w:b w:val="false"/>
          <w:i w:val="false"/>
          <w:color w:val="000000"/>
          <w:sz w:val="22"/>
        </w:rPr>
        <w:t xml:space="preserve"> “CERTIFICATE OF INSURANCE” and that the [“Insurer” or “Group”] is [“licensed to transact the business of insurance, or eligible to provide insurance as an excess or surplus lines insurer, in one or more states”].</w:t>
      </w:r>
    </w:p>
    <w:p>
      <w:pPr>
        <w:spacing w:before="0" w:after="0"/>
        <w:ind w:left="356"/>
        <w:jc w:val="both"/>
      </w:pPr>
      <w:r>
        <w:rPr>
          <w:rFonts w:ascii="Times New Roman" w:hAnsi="Times New Roman"/>
          <w:b w:val="false"/>
          <w:i w:val="false"/>
          <w:color w:val="000000"/>
          <w:sz w:val="22"/>
        </w:rPr>
        <w:t>[Signature of authorized representative of Insurer]</w:t>
      </w:r>
    </w:p>
    <w:p>
      <w:pPr>
        <w:spacing w:before="0" w:after="0"/>
        <w:ind w:left="356"/>
        <w:jc w:val="both"/>
      </w:pPr>
      <w:r>
        <w:rPr>
          <w:rFonts w:ascii="Times New Roman" w:hAnsi="Times New Roman"/>
          <w:b w:val="false"/>
          <w:i w:val="false"/>
          <w:color w:val="000000"/>
          <w:sz w:val="22"/>
        </w:rPr>
        <w:t>[Type name]</w:t>
      </w:r>
    </w:p>
    <w:p>
      <w:pPr>
        <w:spacing w:before="0" w:after="0"/>
        <w:ind w:left="356"/>
        <w:jc w:val="both"/>
      </w:pPr>
      <w:r>
        <w:rPr>
          <w:rFonts w:ascii="Times New Roman" w:hAnsi="Times New Roman"/>
          <w:b w:val="false"/>
          <w:i w:val="false"/>
          <w:color w:val="000000"/>
          <w:sz w:val="22"/>
        </w:rPr>
        <w:t>[Title], Authorized Representative of [name of Insurer or Risk Retention Group]</w:t>
      </w:r>
    </w:p>
    <w:p>
      <w:pPr>
        <w:spacing w:before="0" w:after="0"/>
        <w:ind w:left="356"/>
        <w:jc w:val="both"/>
      </w:pPr>
      <w:r>
        <w:rPr>
          <w:rFonts w:ascii="Times New Roman" w:hAnsi="Times New Roman"/>
          <w:b w:val="false"/>
          <w:i w:val="false"/>
          <w:color w:val="000000"/>
          <w:sz w:val="22"/>
        </w:rPr>
        <w:t>[Address of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136.8(3)</w:t>
      </w:r>
      <w:r>
        <w:rPr>
          <w:rFonts w:ascii="Times New Roman" w:hAnsi="Times New Roman"/>
          <w:b w:val="false"/>
          <w:i w:val="false"/>
          <w:color w:val="000000"/>
          <w:sz w:val="22"/>
        </w:rPr>
        <w:t> </w:t>
      </w:r>
      <w:r>
        <w:rPr>
          <w:rFonts w:ascii="Times New Roman" w:hAnsi="Times New Roman"/>
          <w:b w:val="false"/>
          <w:i w:val="false"/>
          <w:color w:val="000000"/>
          <w:sz w:val="22"/>
        </w:rPr>
        <w:t>Each insurance policy must be issued by an insurer or a risk retention group that, at a minimum, is licensed to transact the business of insurance or eligible to provide insurance as an excess or surplus lines insurer in one or more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567—136.9</w:t>
      </w:r>
      <w:r>
        <w:rPr>
          <w:rFonts w:ascii="Times New Roman" w:hAnsi="Times New Roman"/>
          <w:b/>
          <w:i w:val="false"/>
          <w:color w:val="000000"/>
          <w:sz w:val="22"/>
        </w:rPr>
        <w:t xml:space="preserve">(455B) </w:t>
      </w:r>
      <w:r>
        <w:rPr>
          <w:rFonts w:ascii="Times New Roman" w:hAnsi="Times New Roman"/>
          <w:b/>
          <w:i w:val="false"/>
          <w:color w:val="000000"/>
          <w:sz w:val="22"/>
        </w:rPr>
        <w:t xml:space="preserve">Surety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136.9(1)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satisfy the requirements of rule 567—</w:t>
      </w:r>
      <w:hyperlink r:id="rId80">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obtaining a surety bond that conforms to the requirements of this rule. The surety company issuing the bond must be among those listed as acceptable sureties on federal bonds in the latest Circular 570 of the U.S.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136.9(2)</w:t>
      </w:r>
      <w:r>
        <w:rPr>
          <w:rFonts w:ascii="Times New Roman" w:hAnsi="Times New Roman"/>
          <w:b w:val="false"/>
          <w:i w:val="false"/>
          <w:color w:val="000000"/>
          <w:sz w:val="22"/>
        </w:rPr>
        <w:t> </w:t>
      </w:r>
      <w:r>
        <w:rPr>
          <w:rFonts w:ascii="Times New Roman" w:hAnsi="Times New Roman"/>
          <w:b w:val="false"/>
          <w:i w:val="false"/>
          <w:color w:val="000000"/>
          <w:sz w:val="22"/>
        </w:rPr>
        <w:t>The surety bond must be worded as follows, except that instructions in brackets must be replaced with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PERFORMANCE BOND</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Date bond executed: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Period of coverage: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Principal: ______________</w:t>
      </w:r>
      <w:r>
        <w:rPr>
          <w:rFonts w:ascii="Times New Roman" w:hAnsi="Times New Roman"/>
          <w:b w:val="false"/>
          <w:i w:val="false"/>
          <w:color w:val="000000"/>
          <w:sz w:val="22"/>
          <w:u w:val="single"/>
        </w:rPr>
        <w:t>[legal name and business address of owner or operator]</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Type of organization: </w:t>
      </w:r>
      <w:r>
        <w:rPr>
          <w:rFonts w:ascii="Times New Roman" w:hAnsi="Times New Roman"/>
          <w:b w:val="false"/>
          <w:i w:val="false"/>
          <w:color w:val="000000"/>
          <w:sz w:val="22"/>
          <w:u w:val="single"/>
        </w:rPr>
        <w:t xml:space="preserve">[insert “individual,” “joint venture,” “partnership,” or “corporation”]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State of incorporation (if applicable):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Surety(ies): ________________</w:t>
      </w:r>
      <w:r>
        <w:rPr>
          <w:rFonts w:ascii="Times New Roman" w:hAnsi="Times New Roman"/>
          <w:b w:val="false"/>
          <w:i w:val="false"/>
          <w:color w:val="000000"/>
          <w:sz w:val="22"/>
          <w:u w:val="single"/>
        </w:rPr>
        <w:t>[name(s) and business address(es)]</w:t>
      </w:r>
    </w:p>
    <w:p>
      <w:pPr>
        <w:spacing w:before="0" w:after="0"/>
        <w:ind w:left="120"/>
        <w:jc w:val="both"/>
      </w:pPr>
      <w:r>
        <w:rPr>
          <w:rFonts w:ascii="Times New Roman" w:hAnsi="Times New Roman"/>
          <w:b w:val="false"/>
          <w:i w:val="false"/>
          <w:color w:val="000000"/>
          <w:sz w:val="22"/>
        </w:rPr>
        <w:t> </w:t>
      </w:r>
    </w:p>
    <w:p>
      <w:pPr>
        <w:spacing w:before="0" w:after="0"/>
        <w:ind w:left="356"/>
        <w:jc w:val="both"/>
      </w:pP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Scope of Coverage: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81">
        <w:r>
          <w:rPr>
            <w:rStyle w:val="Hyperlink"/>
            <w:rFonts w:ascii="Times New Roman" w:hAnsi="Times New Roman"/>
            <w:b w:val="false"/>
            <w:i w:val="false"/>
            <w:color w:val="000000"/>
            <w:sz w:val="22"/>
          </w:rPr>
          <w:t>567—subrule 135.3(3)</w:t>
        </w:r>
      </w:hyperlink>
      <w:r>
        <w:rPr>
          <w:rFonts w:ascii="Times New Roman" w:hAnsi="Times New Roman"/>
          <w:b w:val="false"/>
          <w:i w:val="false"/>
          <w:color w:val="000000"/>
          <w:sz w:val="22"/>
        </w:rPr>
        <w:t>, and the name and address of the facility. List the coverage guaranteed by the bond: “taking corrective action” and/or “compensating third parties for bodily injury and property damage caused by” either “sudden accidental releases” or “nonsudden accidental releases” or “accidental releases” “arising from operating the underground storage tank”].</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Penal sums of bond: Per occurrence $ _________________</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Annual aggregate $ _________________</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Surety’s bond number: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Know All Persons by These Presents, that we, the Principal and Surety(ies), hereto are firmly bound to The Iowa Department of Natural Resources, in the above penal sums for the payment of which we bind ourselves, our heirs, executors, administrators, successors, and assigns jointly and severally; provided that, where the Surety(ies) are corporations acting as co-sureties, we, the Sureties, bind ourselves in such sums jointly and severally only for the purpose of allowing a joint action or actions against any or all of us, and for all other purposes each Surety binds itself, jointly and severally with the Principal, for the payment of such sums only as is set forth opposite the name of such Surety, but if no limit of liability is indicated, the limit of liability shall be the full amount of the penal sums.</w:t>
      </w:r>
    </w:p>
    <w:p>
      <w:pPr>
        <w:spacing w:before="0" w:after="0"/>
        <w:ind w:left="120"/>
        <w:jc w:val="both"/>
      </w:pPr>
      <w:r>
        <w:rPr>
          <w:rFonts w:ascii="Times New Roman" w:hAnsi="Times New Roman"/>
          <w:b w:val="false"/>
          <w:i w:val="false"/>
          <w:color w:val="000000"/>
          <w:sz w:val="22"/>
        </w:rPr>
        <w:t>Whereas said Principal is required under Subtitle I of the Solid Waste Disposal Act, as amended, to provide financial assurance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underground storage tanks identified above, and</w:t>
      </w:r>
    </w:p>
    <w:p>
      <w:pPr>
        <w:spacing w:before="0" w:after="0"/>
        <w:ind w:left="120"/>
        <w:jc w:val="both"/>
      </w:pPr>
      <w:r>
        <w:rPr>
          <w:rFonts w:ascii="Times New Roman" w:hAnsi="Times New Roman"/>
          <w:b w:val="false"/>
          <w:i w:val="false"/>
          <w:color w:val="000000"/>
          <w:sz w:val="22"/>
        </w:rPr>
        <w:t>Whereas said Principal shall establish a standby trust fund as is required when a surety bond is used to provide such financial assurance;</w:t>
      </w:r>
    </w:p>
    <w:p>
      <w:pPr>
        <w:spacing w:before="0" w:after="0"/>
        <w:ind w:left="120"/>
        <w:jc w:val="both"/>
      </w:pPr>
      <w:r>
        <w:rPr>
          <w:rFonts w:ascii="Times New Roman" w:hAnsi="Times New Roman"/>
          <w:b w:val="false"/>
          <w:i w:val="false"/>
          <w:color w:val="000000"/>
          <w:sz w:val="22"/>
        </w:rPr>
        <w:t xml:space="preserve">Now, therefore, the conditions of the obligation are such that if the Principal shall faithfully [“take corrective action, in accordance with rule </w:t>
      </w:r>
      <w:hyperlink r:id="rId82">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and the Director of the Iowa Department of Natural Resources instructions for,” and/or “compensate injured third parties for bodily injury and property damage caused by” either “sudden accidental releases” or “nonsudden accidental releases” or “accidental releases”] arising from operating the tank(s) identified above, or if the Principal shall provide alternate financial assurance, as specified in </w:t>
      </w:r>
      <w:hyperlink r:id="rId8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within 120 days after the date the notice of cancellation is received by the Principal from the Surety(ies), then this obligation shall be null and void; otherwise it is to remain in full force and effect.</w:t>
      </w:r>
    </w:p>
    <w:p>
      <w:pPr>
        <w:spacing w:before="0" w:after="0"/>
        <w:ind w:left="120"/>
        <w:jc w:val="both"/>
      </w:pPr>
      <w:r>
        <w:rPr>
          <w:rFonts w:ascii="Times New Roman" w:hAnsi="Times New Roman"/>
          <w:b w:val="false"/>
          <w:i w:val="false"/>
          <w:color w:val="000000"/>
          <w:sz w:val="22"/>
        </w:rPr>
        <w:t>Such obligation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of [insert owner or operator] under a workers’ compensation, disability benefits, or unemployment compensation law or other similar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Bodily injury to an employee of [insert owner or operator] arising from, and in the course of, employment by [insert owner or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Bodily injury or property damage arising from the ownership, maintenance, use, or entrustment to others of any aircraft, motor vehicle, or watercraft;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Property damage to any property owned, rented, loaned to, in the care, custody, or control of, or occupied by [insert owner or operator] that is not the direct result of a release from a petroleum underground storage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 Bodily injury or property damage for which [insert owner or operator] is obligated to pay damages by reason of the assumption of liability in a contract or agreement other than a contract or agreement entered into to meet the requirements of rule </w:t>
      </w:r>
      <w:hyperlink r:id="rId84">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The Surety(ies) shall become liable on the bond obligation only when the Principal has failed to fulfill the conditions described above.</w:t>
      </w:r>
    </w:p>
    <w:p>
      <w:pPr>
        <w:spacing w:before="0" w:after="0"/>
        <w:ind w:left="120"/>
        <w:jc w:val="both"/>
      </w:pPr>
      <w:r>
        <w:rPr>
          <w:rFonts w:ascii="Times New Roman" w:hAnsi="Times New Roman"/>
          <w:b w:val="false"/>
          <w:i w:val="false"/>
          <w:color w:val="000000"/>
          <w:sz w:val="22"/>
        </w:rPr>
        <w:t xml:space="preserve">Upon notification by the director of the Iowa department of natural resources that the Principal has failed to [“take corrective action, in accordance with rule </w:t>
      </w:r>
      <w:hyperlink r:id="rId85">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and the director’s instructions,” and/or “compensate injured third parties”] as guaranteed by this bond, the Surety(ies) shall either perform [“corrective action in accordance with </w:t>
      </w:r>
      <w:hyperlink r:id="rId8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the director’s instructions,” and/or “third-party liability compensation”] or place funds in an amount up to the annual aggregate penal sum into the standby trust fund as directed by the director under rule </w:t>
      </w:r>
      <w:hyperlink r:id="rId87">
        <w:r>
          <w:rPr>
            <w:rStyle w:val="Hyperlink"/>
            <w:rFonts w:ascii="Times New Roman" w:hAnsi="Times New Roman"/>
            <w:b w:val="false"/>
            <w:i w:val="false"/>
            <w:color w:val="000000"/>
            <w:sz w:val="22"/>
          </w:rPr>
          <w:t>567—136.7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Upon notification by the director that the Principal has failed to provide alternate financial assurance within 60 days after the date the notice of cancellation is received by the Principal from the Surety(ies) and that the director has determined or suspects that a release has occurred, the Surety(ies) shall place funds in an amount not exceeding the annual aggregate penal sum into the standby trust fund as directed by the director under rule </w:t>
      </w:r>
      <w:hyperlink r:id="rId88">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The Surety(ies) hereby waive(s) notification of amendments to applicable laws, statutes, rules, and regulations and agrees that no such amendment shall in any way alleviate its (their) obligation on this bond.</w:t>
      </w:r>
    </w:p>
    <w:p>
      <w:pPr>
        <w:spacing w:before="0" w:after="0"/>
        <w:ind w:left="120"/>
        <w:jc w:val="both"/>
      </w:pPr>
      <w:r>
        <w:rPr>
          <w:rFonts w:ascii="Times New Roman" w:hAnsi="Times New Roman"/>
          <w:b w:val="false"/>
          <w:i w:val="false"/>
          <w:color w:val="000000"/>
          <w:sz w:val="22"/>
        </w:rPr>
        <w:t>The liability of the Surety(ies) shall not be discharged by any payment or succession of payments hereunder, unless and until such payment or payments shall amount in the annual aggregate to the penal sum shown on the face of the bond, but in no event shall the obligation of the Surety(ies) hereunder exceed the amount of said annual aggregate penal sum.</w:t>
      </w:r>
    </w:p>
    <w:p>
      <w:pPr>
        <w:spacing w:before="0" w:after="0"/>
        <w:ind w:left="120"/>
        <w:jc w:val="both"/>
      </w:pPr>
      <w:r>
        <w:rPr>
          <w:rFonts w:ascii="Times New Roman" w:hAnsi="Times New Roman"/>
          <w:b w:val="false"/>
          <w:i w:val="false"/>
          <w:color w:val="000000"/>
          <w:sz w:val="22"/>
        </w:rPr>
        <w:t>The Surety(ies) may cancel the bond by sending notice of cancellation by certified mail to the Principal, provided, however, that cancellation shall not occur during the 120 days beginning on the date of receipt of the notice of cancellation by the Principal, as evidenced by the return receipt.</w:t>
      </w:r>
    </w:p>
    <w:p>
      <w:pPr>
        <w:spacing w:before="0" w:after="0"/>
        <w:ind w:left="120"/>
        <w:jc w:val="both"/>
      </w:pPr>
      <w:r>
        <w:rPr>
          <w:rFonts w:ascii="Times New Roman" w:hAnsi="Times New Roman"/>
          <w:b w:val="false"/>
          <w:i w:val="false"/>
          <w:color w:val="000000"/>
          <w:sz w:val="22"/>
        </w:rPr>
        <w:t>The Principal may terminate this bond by sending written notice to the Surety(ies).</w:t>
      </w:r>
    </w:p>
    <w:p>
      <w:pPr>
        <w:spacing w:before="0" w:after="0"/>
        <w:ind w:left="120"/>
        <w:jc w:val="both"/>
      </w:pPr>
      <w:r>
        <w:rPr>
          <w:rFonts w:ascii="Times New Roman" w:hAnsi="Times New Roman"/>
          <w:b w:val="false"/>
          <w:i w:val="false"/>
          <w:color w:val="000000"/>
          <w:sz w:val="22"/>
        </w:rPr>
        <w:t>In Witness Thereof, the Principal and Surety(ies) have executed this Bond and have affixed their seals on the date set forth above.</w:t>
      </w:r>
    </w:p>
    <w:p>
      <w:pPr>
        <w:spacing w:before="0" w:after="0"/>
        <w:ind w:left="120"/>
        <w:jc w:val="both"/>
      </w:pPr>
      <w:r>
        <w:rPr>
          <w:rFonts w:ascii="Times New Roman" w:hAnsi="Times New Roman"/>
          <w:b w:val="false"/>
          <w:i w:val="false"/>
          <w:color w:val="000000"/>
          <w:sz w:val="22"/>
        </w:rPr>
        <w:t xml:space="preserve">The persons whose signatures appear below hereby certify that they are authorized to execute this surety bond on behalf of the Principal and Surety(ies) and that the wording of this surety bond is identical to the wording specified in </w:t>
      </w:r>
      <w:hyperlink r:id="rId89">
        <w:r>
          <w:rPr>
            <w:rStyle w:val="Hyperlink"/>
            <w:rFonts w:ascii="Times New Roman" w:hAnsi="Times New Roman"/>
            <w:b w:val="false"/>
            <w:i w:val="false"/>
            <w:color w:val="000000"/>
            <w:sz w:val="22"/>
          </w:rPr>
          <w:t>567—subrule 136.9(2)</w:t>
        </w:r>
      </w:hyperlink>
      <w:r>
        <w:rPr>
          <w:rFonts w:ascii="Times New Roman" w:hAnsi="Times New Roman"/>
          <w:b w:val="false"/>
          <w:i w:val="false"/>
          <w:color w:val="000000"/>
          <w:sz w:val="22"/>
        </w:rPr>
        <w:t xml:space="preserve"> as such rules were constituted on the date this bond was executed.</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PRINCIPAL</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[Signature(s)]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[Title(s)]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[Corporate seal]</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CORPORATE SURETY(IES)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State of Incorporation: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Liability limit: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[Signature(s)]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[Name(s) and title(s)]</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[Corporate seal]</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[For every co-surety, provide signature(s), corporate seal, and other information in the same manner as for Surety above.]</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Bond premium: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136.9(3)</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will become liable on the bond obligation when the owner or operator fails to perform as guaranteed by the bond. In all cases, the surety’s liability is limited to the per occurrence and annual aggregate penal sums.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who uses a surety bond to satisfy the requirements of rule </w:t>
      </w:r>
      <w:hyperlink r:id="rId90">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 xml:space="preserve">(455B) must establish a standby trust fund when the surety bond is acquired. Under the terms of the bond, all amounts paid by the surety under the bond will be deposited directly into the standby trust fund in accordance with instructions from the director under rule </w:t>
      </w:r>
      <w:hyperlink r:id="rId91">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 xml:space="preserve">(455B). This standby trust fund must meet the requirements specified in rule </w:t>
      </w:r>
      <w:hyperlink r:id="rId92">
        <w:r>
          <w:rPr>
            <w:rStyle w:val="Hyperlink"/>
            <w:rFonts w:ascii="Times New Roman" w:hAnsi="Times New Roman"/>
            <w:b w:val="false"/>
            <w:i w:val="false"/>
            <w:color w:val="000000"/>
            <w:sz w:val="22"/>
          </w:rPr>
          <w:t>567—136.12</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567—136.10</w:t>
      </w:r>
      <w:r>
        <w:rPr>
          <w:rFonts w:ascii="Times New Roman" w:hAnsi="Times New Roman"/>
          <w:b/>
          <w:i w:val="false"/>
          <w:color w:val="000000"/>
          <w:sz w:val="22"/>
        </w:rPr>
        <w:t xml:space="preserve">(455B) </w:t>
      </w:r>
      <w:r>
        <w:rPr>
          <w:rFonts w:ascii="Times New Roman" w:hAnsi="Times New Roman"/>
          <w:b/>
          <w:i w:val="false"/>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136.10(1)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satisfy the requirements of rule 567—</w:t>
      </w:r>
      <w:hyperlink r:id="rId93">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obtaining an irrevocable standby letter of credit that conforms to the requirements of this subrule. The issuing institution must be an entity that has the authority to issue letters of credit in Iowa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136.10(2)</w:t>
      </w:r>
      <w:r>
        <w:rPr>
          <w:rFonts w:ascii="Times New Roman" w:hAnsi="Times New Roman"/>
          <w:b w:val="false"/>
          <w:i w:val="false"/>
          <w:color w:val="000000"/>
          <w:sz w:val="22"/>
        </w:rPr>
        <w:t> </w:t>
      </w:r>
      <w:r>
        <w:rPr>
          <w:rFonts w:ascii="Times New Roman" w:hAnsi="Times New Roman"/>
          <w:b w:val="false"/>
          <w:i w:val="false"/>
          <w:color w:val="000000"/>
          <w:sz w:val="22"/>
        </w:rPr>
        <w:t>The letter of credit must be worded as follows, except that instructions in brackets are to be replaced with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IRREVOCABLE STANDBY LETTER OF CREDIT</w:t>
      </w:r>
    </w:p>
    <w:p>
      <w:pPr>
        <w:spacing w:before="0" w:after="0"/>
        <w:ind w:left="356"/>
        <w:jc w:val="both"/>
      </w:pPr>
      <w:r>
        <w:rPr>
          <w:rFonts w:ascii="Times New Roman" w:hAnsi="Times New Roman"/>
          <w:b w:val="false"/>
          <w:i w:val="false"/>
          <w:color w:val="000000"/>
          <w:sz w:val="22"/>
        </w:rPr>
        <w:t>[Name and address of issuing institution]</w:t>
      </w:r>
    </w:p>
    <w:p>
      <w:pPr>
        <w:spacing w:before="0" w:after="0"/>
        <w:ind w:left="356"/>
        <w:jc w:val="both"/>
      </w:pPr>
      <w:r>
        <w:rPr>
          <w:rFonts w:ascii="Times New Roman" w:hAnsi="Times New Roman"/>
          <w:b w:val="false"/>
          <w:i w:val="false"/>
          <w:color w:val="000000"/>
          <w:sz w:val="22"/>
        </w:rPr>
        <w:t>[Name and address of Director of Iowa Department of Natural Resources]</w:t>
      </w:r>
    </w:p>
    <w:p>
      <w:pPr>
        <w:spacing w:before="0" w:after="0"/>
        <w:ind w:left="356"/>
        <w:jc w:val="both"/>
      </w:pPr>
      <w:r>
        <w:rPr>
          <w:rFonts w:ascii="Times New Roman" w:hAnsi="Times New Roman"/>
          <w:b w:val="false"/>
          <w:i w:val="false"/>
          <w:color w:val="000000"/>
          <w:sz w:val="22"/>
        </w:rPr>
        <w:t>Dear Sir or Madam: We hereby establish our Irrevocable Standby Letter of Credit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 in your favor, at the request and for the account of [owner or operator name] of [address] up to the aggregate amount of [in words] U.S. dollars ($[insert dollar amount]), available upon presentation of</w:t>
      </w:r>
    </w:p>
    <w:p>
      <w:pPr>
        <w:spacing w:before="0" w:after="0"/>
        <w:ind w:left="356"/>
        <w:jc w:val="both"/>
      </w:pPr>
      <w:r>
        <w:rPr>
          <w:rFonts w:ascii="Times New Roman" w:hAnsi="Times New Roman"/>
          <w:b w:val="false"/>
          <w:i w:val="false"/>
          <w:color w:val="000000"/>
          <w:sz w:val="22"/>
        </w:rPr>
        <w:t>(1) your sight draft, bearing reference to this letter of credit,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 , and</w:t>
      </w:r>
    </w:p>
    <w:p>
      <w:pPr>
        <w:spacing w:before="0" w:after="0"/>
        <w:ind w:left="356"/>
        <w:jc w:val="both"/>
      </w:pPr>
      <w:r>
        <w:rPr>
          <w:rFonts w:ascii="Times New Roman" w:hAnsi="Times New Roman"/>
          <w:b w:val="false"/>
          <w:i w:val="false"/>
          <w:color w:val="000000"/>
          <w:sz w:val="22"/>
        </w:rPr>
        <w:t>(2) your signed statement reading as follows: “I certify that the amount of the draft is payable pursuant to regulations issued under authority of Subtitle I of the Solid Waste Disposal Act, as amended.”</w:t>
      </w:r>
    </w:p>
    <w:p>
      <w:pPr>
        <w:spacing w:before="0" w:after="0"/>
        <w:ind w:left="356"/>
        <w:jc w:val="both"/>
      </w:pPr>
      <w:r>
        <w:rPr>
          <w:rFonts w:ascii="Times New Roman" w:hAnsi="Times New Roman"/>
          <w:b w:val="false"/>
          <w:i w:val="false"/>
          <w:color w:val="000000"/>
          <w:sz w:val="22"/>
        </w:rPr>
        <w:t>This letter of credit may be drawn on to cover [insert: “taking corrective action” and/or “compensating third parties for bodily injury and property damage caused by” either “sudden accidental releases” or “nonsudden accidental releases” or “accidental releases”] arising from operating the underground storage tank(s) identified below in the amount of [in words] $[insert dollar amount] per occurrence and [in words] $[insert dollar amount] annual aggregate:</w:t>
      </w:r>
    </w:p>
    <w:p>
      <w:pPr>
        <w:spacing w:before="0" w:after="0"/>
        <w:ind w:left="356"/>
        <w:jc w:val="both"/>
      </w:pPr>
      <w:r>
        <w:rPr>
          <w:rFonts w:ascii="Times New Roman" w:hAnsi="Times New Roman"/>
          <w:b w:val="false"/>
          <w:i w:val="false"/>
          <w:color w:val="000000"/>
          <w:sz w:val="22"/>
        </w:rPr>
        <w:t xml:space="preserve">[List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94">
        <w:r>
          <w:rPr>
            <w:rStyle w:val="Hyperlink"/>
            <w:rFonts w:ascii="Times New Roman" w:hAnsi="Times New Roman"/>
            <w:b w:val="false"/>
            <w:i w:val="false"/>
            <w:color w:val="000000"/>
            <w:sz w:val="22"/>
          </w:rPr>
          <w:t>567—subrule 135.3(3)</w:t>
        </w:r>
      </w:hyperlink>
      <w:r>
        <w:rPr>
          <w:rFonts w:ascii="Times New Roman" w:hAnsi="Times New Roman"/>
          <w:b w:val="false"/>
          <w:i w:val="false"/>
          <w:color w:val="000000"/>
          <w:sz w:val="22"/>
        </w:rPr>
        <w:t xml:space="preserve"> and the name and address of the facility.]</w:t>
      </w:r>
    </w:p>
    <w:p>
      <w:pPr>
        <w:spacing w:before="0" w:after="0"/>
        <w:ind w:left="356"/>
        <w:jc w:val="both"/>
      </w:pPr>
      <w:r>
        <w:rPr>
          <w:rFonts w:ascii="Times New Roman" w:hAnsi="Times New Roman"/>
          <w:b w:val="false"/>
          <w:i w:val="false"/>
          <w:color w:val="000000"/>
          <w:sz w:val="22"/>
        </w:rPr>
        <w:t>The letter of credit may not be drawn on to cover any of the following:</w:t>
      </w:r>
    </w:p>
    <w:p>
      <w:pPr>
        <w:spacing w:before="0" w:after="0"/>
        <w:ind w:left="356"/>
        <w:jc w:val="both"/>
      </w:pPr>
      <w:r>
        <w:rPr>
          <w:rFonts w:ascii="Times New Roman" w:hAnsi="Times New Roman"/>
          <w:b w:val="false"/>
          <w:i w:val="false"/>
          <w:color w:val="000000"/>
          <w:sz w:val="22"/>
        </w:rPr>
        <w:t>(a) Any obligation of [insert owner or operator] under a workers’ compensation, disability benefits, or unemployment compensation law or other similar law;</w:t>
      </w:r>
    </w:p>
    <w:p>
      <w:pPr>
        <w:spacing w:before="0" w:after="0"/>
        <w:ind w:left="356"/>
        <w:jc w:val="both"/>
      </w:pPr>
      <w:r>
        <w:rPr>
          <w:rFonts w:ascii="Times New Roman" w:hAnsi="Times New Roman"/>
          <w:b w:val="false"/>
          <w:i w:val="false"/>
          <w:color w:val="000000"/>
          <w:sz w:val="22"/>
        </w:rPr>
        <w:t>(b) Bodily injury to an employee of [insert owner or operator] arising from, and in the course of, employment by [insert owner or operator];</w:t>
      </w:r>
    </w:p>
    <w:p>
      <w:pPr>
        <w:spacing w:before="0" w:after="0"/>
        <w:ind w:left="356"/>
        <w:jc w:val="both"/>
      </w:pPr>
      <w:r>
        <w:rPr>
          <w:rFonts w:ascii="Times New Roman" w:hAnsi="Times New Roman"/>
          <w:b w:val="false"/>
          <w:i w:val="false"/>
          <w:color w:val="000000"/>
          <w:sz w:val="22"/>
        </w:rPr>
        <w:t>(c) Bodily injury or property damage arising from the ownership, maintenance, use, or entrustment to others of any aircraft, motor vehicle, or watercraft;</w:t>
      </w:r>
    </w:p>
    <w:p>
      <w:pPr>
        <w:spacing w:before="0" w:after="0"/>
        <w:ind w:left="356"/>
        <w:jc w:val="both"/>
      </w:pPr>
      <w:r>
        <w:rPr>
          <w:rFonts w:ascii="Times New Roman" w:hAnsi="Times New Roman"/>
          <w:b w:val="false"/>
          <w:i w:val="false"/>
          <w:color w:val="000000"/>
          <w:sz w:val="22"/>
        </w:rPr>
        <w:t>(d) Property damage to any property owned, rented, loaned to, in the care, custody, or control of, or occupied by [insert owner or operator] that is not the direct result of a release from a petroleum underground storage tank;</w:t>
      </w:r>
    </w:p>
    <w:p>
      <w:pPr>
        <w:spacing w:before="0" w:after="0"/>
        <w:ind w:left="356"/>
        <w:jc w:val="both"/>
      </w:pPr>
      <w:r>
        <w:rPr>
          <w:rFonts w:ascii="Times New Roman" w:hAnsi="Times New Roman"/>
          <w:b w:val="false"/>
          <w:i w:val="false"/>
          <w:color w:val="000000"/>
          <w:sz w:val="22"/>
        </w:rPr>
        <w:t xml:space="preserve">(e) Bodily injury or property damage for which [insert owner or operator] is obligated to pay damages by reason of the assumption of liability in a contract or agreement other than a contract or agreement entered into to meet the requirements of rule </w:t>
      </w:r>
      <w:hyperlink r:id="rId95">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(455B).</w:t>
      </w:r>
    </w:p>
    <w:p>
      <w:pPr>
        <w:spacing w:before="0" w:after="0"/>
        <w:ind w:left="356"/>
        <w:jc w:val="both"/>
      </w:pPr>
      <w:r>
        <w:rPr>
          <w:rFonts w:ascii="Times New Roman" w:hAnsi="Times New Roman"/>
          <w:b w:val="false"/>
          <w:i w:val="false"/>
          <w:color w:val="000000"/>
          <w:sz w:val="22"/>
        </w:rPr>
        <w:t>This letter of credit is effective as of [date] and shall expire on [date], but such expiration date shall be automatically extended for a period of [at least the length of the original term] on [expiration date] and on each successive expiration date, unless, at least 120 days before the current expiration date, we notify [owner or operator] by certified mail that we have decided not to extend this letter of credit beyond the current expiration date. In the event that [owner or operator] is so notified, any unused portion of the credit shall be available upon presentation of your sight draft for 120 days after the date of receipt by [owner or operator], as shown on the signed return receipt.</w:t>
      </w:r>
    </w:p>
    <w:p>
      <w:pPr>
        <w:spacing w:before="0" w:after="0"/>
        <w:ind w:left="356"/>
        <w:jc w:val="both"/>
      </w:pPr>
      <w:r>
        <w:rPr>
          <w:rFonts w:ascii="Times New Roman" w:hAnsi="Times New Roman"/>
          <w:b w:val="false"/>
          <w:i w:val="false"/>
          <w:color w:val="000000"/>
          <w:sz w:val="22"/>
        </w:rPr>
        <w:t>Whenever this letter of credit is drawn on under and in compliance with the terms of this credit, we shall duly honor such draft upon presentation to us, and we shall deposit the amount of the draft directly into the standby trust fund of [owner or operator] in accordance with your instructions.</w:t>
      </w:r>
    </w:p>
    <w:p>
      <w:pPr>
        <w:spacing w:before="0" w:after="0"/>
        <w:ind w:left="356"/>
        <w:jc w:val="both"/>
      </w:pPr>
      <w:r>
        <w:rPr>
          <w:rFonts w:ascii="Times New Roman" w:hAnsi="Times New Roman"/>
          <w:b w:val="false"/>
          <w:i w:val="false"/>
          <w:color w:val="000000"/>
          <w:sz w:val="22"/>
        </w:rPr>
        <w:t xml:space="preserve">We certify that the wording of this letter of credit is identical to the wording specified in </w:t>
      </w:r>
      <w:hyperlink r:id="rId96">
        <w:r>
          <w:rPr>
            <w:rStyle w:val="Hyperlink"/>
            <w:rFonts w:ascii="Times New Roman" w:hAnsi="Times New Roman"/>
            <w:b w:val="false"/>
            <w:i w:val="false"/>
            <w:color w:val="000000"/>
            <w:sz w:val="22"/>
          </w:rPr>
          <w:t>567—subrule 136.10(2)</w:t>
        </w:r>
      </w:hyperlink>
      <w:r>
        <w:rPr>
          <w:rFonts w:ascii="Times New Roman" w:hAnsi="Times New Roman"/>
          <w:b w:val="false"/>
          <w:i w:val="false"/>
          <w:color w:val="000000"/>
          <w:sz w:val="22"/>
        </w:rPr>
        <w:t xml:space="preserve"> as such regulations were constituted on the date shown immediately below.</w:t>
      </w:r>
    </w:p>
    <w:p>
      <w:pPr>
        <w:spacing w:before="0" w:after="0"/>
        <w:ind w:left="356"/>
        <w:jc w:val="both"/>
      </w:pPr>
      <w:r>
        <w:rPr>
          <w:rFonts w:ascii="Times New Roman" w:hAnsi="Times New Roman"/>
          <w:b w:val="false"/>
          <w:i w:val="false"/>
          <w:color w:val="000000"/>
          <w:sz w:val="22"/>
        </w:rPr>
        <w:t>[Signature(s) and title(s) of official(s) of issuing institution]</w:t>
      </w:r>
    </w:p>
    <w:p>
      <w:pPr>
        <w:spacing w:before="0" w:after="0"/>
        <w:ind w:left="356"/>
        <w:jc w:val="both"/>
      </w:pPr>
      <w:r>
        <w:rPr>
          <w:rFonts w:ascii="Times New Roman" w:hAnsi="Times New Roman"/>
          <w:b w:val="false"/>
          <w:i w:val="false"/>
          <w:color w:val="000000"/>
          <w:sz w:val="22"/>
        </w:rPr>
        <w:t>[Date]</w:t>
      </w:r>
    </w:p>
    <w:p>
      <w:pPr>
        <w:spacing w:before="0" w:after="0"/>
        <w:ind w:left="356"/>
        <w:jc w:val="both"/>
      </w:pPr>
      <w:r>
        <w:rPr>
          <w:rFonts w:ascii="Times New Roman" w:hAnsi="Times New Roman"/>
          <w:b w:val="false"/>
          <w:i w:val="false"/>
          <w:color w:val="000000"/>
          <w:sz w:val="22"/>
        </w:rPr>
        <w:t>This credit is subject to [insert “the most recent edition of the Uniform Customs and Practice for Documentary Credits, published by the International Chamber of Commerce,” or “the Uniform Commercial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uses a letter of credit to satisfy the requirements of </w:t>
      </w:r>
      <w:hyperlink r:id="rId97">
        <w:r>
          <w:rPr>
            <w:rStyle w:val="Hyperlink"/>
            <w:rFonts w:ascii="Times New Roman" w:hAnsi="Times New Roman"/>
            <w:b w:val="false"/>
            <w:i w:val="false"/>
            <w:color w:val="000000"/>
            <w:sz w:val="22"/>
          </w:rPr>
          <w:t>567—subrule 135.9(4)</w:t>
        </w:r>
      </w:hyperlink>
      <w:r>
        <w:rPr>
          <w:rFonts w:ascii="Times New Roman" w:hAnsi="Times New Roman"/>
          <w:b w:val="false"/>
          <w:i w:val="false"/>
          <w:color w:val="000000"/>
          <w:sz w:val="22"/>
        </w:rPr>
        <w:t xml:space="preserve"> must also establish a standby trust fund when the letter of credit is acquired. Under the terms of the letter of credit, all amounts paid pursuant to a draft by the director will be deposited by the issuing institution directly into the standby trust fund in accordance with instructions from the director under rule 567—</w:t>
      </w:r>
      <w:hyperlink r:id="rId98">
        <w:r>
          <w:rPr>
            <w:rStyle w:val="Hyperlink"/>
            <w:rFonts w:ascii="Times New Roman" w:hAnsi="Times New Roman"/>
            <w:b w:val="false"/>
            <w:i w:val="false"/>
            <w:color w:val="000000"/>
            <w:sz w:val="22"/>
          </w:rPr>
          <w:t>136.21</w:t>
        </w:r>
      </w:hyperlink>
      <w:r>
        <w:rPr>
          <w:rFonts w:ascii="Times New Roman" w:hAnsi="Times New Roman"/>
          <w:b w:val="false"/>
          <w:i w:val="false"/>
          <w:color w:val="000000"/>
          <w:sz w:val="22"/>
        </w:rPr>
        <w:t>(455B). This standby trust fund must meet the requirements specified in rule 567—</w:t>
      </w:r>
      <w:hyperlink r:id="rId99">
        <w:r>
          <w:rPr>
            <w:rStyle w:val="Hyperlink"/>
            <w:rFonts w:ascii="Times New Roman" w:hAnsi="Times New Roman"/>
            <w:b w:val="false"/>
            <w:i w:val="false"/>
            <w:color w:val="000000"/>
            <w:sz w:val="22"/>
          </w:rPr>
          <w:t>136.12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136.10(4)</w:t>
      </w:r>
      <w:r>
        <w:rPr>
          <w:rFonts w:ascii="Times New Roman" w:hAnsi="Times New Roman"/>
          <w:b w:val="false"/>
          <w:i w:val="false"/>
          <w:color w:val="000000"/>
          <w:sz w:val="22"/>
        </w:rPr>
        <w:t> </w:t>
      </w:r>
      <w:r>
        <w:rPr>
          <w:rFonts w:ascii="Times New Roman" w:hAnsi="Times New Roman"/>
          <w:b w:val="false"/>
          <w:i w:val="false"/>
          <w:color w:val="000000"/>
          <w:sz w:val="22"/>
        </w:rPr>
        <w:t>The letter of credit must be irrevocable with a term specified by the issuing institution. The letter of credit must provide that credit be automatically renewed for the same term as the original term, unless, at least 120 days before the current expiration date, the issuing institution notifies the owner or operator by certified mail of its decision not to renew the letter of credit. Under the terms of the letter of credit, the 120 days will begin on the date when the owner or operator receives the notice, as evidenced by the return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567—136.11</w:t>
      </w:r>
      <w:r>
        <w:rPr>
          <w:rFonts w:ascii="Times New Roman" w:hAnsi="Times New Roman"/>
          <w:b/>
          <w:i w:val="false"/>
          <w:color w:val="000000"/>
          <w:sz w:val="22"/>
        </w:rPr>
        <w:t xml:space="preserve">(455B) </w:t>
      </w:r>
      <w:r>
        <w:rPr>
          <w:rFonts w:ascii="Times New Roman" w:hAnsi="Times New Roman"/>
          <w:b/>
          <w:i w:val="false"/>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satisfy the requirements of rule 567—</w:t>
      </w:r>
      <w:hyperlink r:id="rId100">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establishing a trust fund that conforms to the requirements of this rule. The trustee must be an entity that has the authority to act as a trustee and whose trust operations are regulated and examined by a federal agency or an agency of the state in which the fund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wording of the trust agreement must be identical to the wording specified in subrule </w:t>
      </w:r>
      <w:hyperlink r:id="rId101">
        <w:r>
          <w:rPr>
            <w:rStyle w:val="Hyperlink"/>
            <w:rFonts w:ascii="Times New Roman" w:hAnsi="Times New Roman"/>
            <w:b w:val="false"/>
            <w:i w:val="false"/>
            <w:color w:val="000000"/>
            <w:sz w:val="22"/>
          </w:rPr>
          <w:t>136.12(2)</w:t>
        </w:r>
      </w:hyperlink>
      <w:r>
        <w:rPr>
          <w:rFonts w:ascii="Times New Roman" w:hAnsi="Times New Roman"/>
          <w:b w:val="false"/>
          <w:i w:val="false"/>
          <w:color w:val="000000"/>
          <w:sz w:val="22"/>
        </w:rPr>
        <w:t xml:space="preserve">, “TRUST AGREEMENT,” and must be accompanied by a formal certification of acknowledgment as specified in subrule </w:t>
      </w:r>
      <w:hyperlink r:id="rId102">
        <w:r>
          <w:rPr>
            <w:rStyle w:val="Hyperlink"/>
            <w:rFonts w:ascii="Times New Roman" w:hAnsi="Times New Roman"/>
            <w:b w:val="false"/>
            <w:i w:val="false"/>
            <w:color w:val="000000"/>
            <w:sz w:val="22"/>
          </w:rPr>
          <w:t>136.12(2)</w:t>
        </w:r>
      </w:hyperlink>
      <w:r>
        <w:rPr>
          <w:rFonts w:ascii="Times New Roman" w:hAnsi="Times New Roman"/>
          <w:b w:val="false"/>
          <w:i w:val="false"/>
          <w:color w:val="000000"/>
          <w:sz w:val="22"/>
        </w:rPr>
        <w: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136.11(3)</w:t>
      </w:r>
      <w:r>
        <w:rPr>
          <w:rFonts w:ascii="Times New Roman" w:hAnsi="Times New Roman"/>
          <w:b w:val="false"/>
          <w:i w:val="false"/>
          <w:color w:val="000000"/>
          <w:sz w:val="22"/>
        </w:rPr>
        <w:t> </w:t>
      </w:r>
      <w:r>
        <w:rPr>
          <w:rFonts w:ascii="Times New Roman" w:hAnsi="Times New Roman"/>
          <w:b w:val="false"/>
          <w:i w:val="false"/>
          <w:color w:val="000000"/>
          <w:sz w:val="22"/>
        </w:rPr>
        <w:t>The trust fund, when established, must be funded for the full required amount of coverage, or funded for part of the required amount of coverage and used in combination with other mechanism(s) that provide the remaining required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136.11(4)</w:t>
      </w:r>
      <w:r>
        <w:rPr>
          <w:rFonts w:ascii="Times New Roman" w:hAnsi="Times New Roman"/>
          <w:b w:val="false"/>
          <w:i w:val="false"/>
          <w:color w:val="000000"/>
          <w:sz w:val="22"/>
        </w:rPr>
        <w:t> </w:t>
      </w:r>
      <w:r>
        <w:rPr>
          <w:rFonts w:ascii="Times New Roman" w:hAnsi="Times New Roman"/>
          <w:b w:val="false"/>
          <w:i w:val="false"/>
          <w:color w:val="000000"/>
          <w:sz w:val="22"/>
        </w:rPr>
        <w:t>If the value of the trust fund is greater than the required amount of coverage, the owner or operator may submit a written request to the director for release of the excess.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136.11(5)</w:t>
      </w:r>
      <w:r>
        <w:rPr>
          <w:rFonts w:ascii="Times New Roman" w:hAnsi="Times New Roman"/>
          <w:b w:val="false"/>
          <w:i w:val="false"/>
          <w:color w:val="000000"/>
          <w:sz w:val="22"/>
        </w:rPr>
        <w:t> </w:t>
      </w:r>
      <w:r>
        <w:rPr>
          <w:rFonts w:ascii="Times New Roman" w:hAnsi="Times New Roman"/>
          <w:b w:val="false"/>
          <w:i w:val="false"/>
          <w:color w:val="000000"/>
          <w:sz w:val="22"/>
        </w:rPr>
        <w:t>If other financial assurances as specified in this rule are substituted for all or part of the trust fund, the owner or operator may submit a written request to the director for release of the excess.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136.11(6)</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after receiving a request from the owner or operator for release of funds as specified in </w:t>
      </w:r>
      <w:hyperlink r:id="rId103">
        <w:r>
          <w:rPr>
            <w:rStyle w:val="Hyperlink"/>
            <w:rFonts w:ascii="Times New Roman" w:hAnsi="Times New Roman"/>
            <w:b w:val="false"/>
            <w:i w:val="false"/>
            <w:color w:val="000000"/>
            <w:sz w:val="22"/>
          </w:rPr>
          <w:t>136.11(4)</w:t>
        </w:r>
      </w:hyperlink>
      <w:r>
        <w:rPr>
          <w:rFonts w:ascii="Times New Roman" w:hAnsi="Times New Roman"/>
          <w:b w:val="false"/>
          <w:i w:val="false"/>
          <w:color w:val="000000"/>
          <w:sz w:val="22"/>
        </w:rPr>
        <w:t xml:space="preserve"> or </w:t>
      </w:r>
      <w:hyperlink r:id="rId104">
        <w:r>
          <w:rPr>
            <w:rStyle w:val="Hyperlink"/>
            <w:rFonts w:ascii="Times New Roman" w:hAnsi="Times New Roman"/>
            <w:b w:val="false"/>
            <w:i w:val="false"/>
            <w:color w:val="000000"/>
            <w:sz w:val="22"/>
          </w:rPr>
          <w:t>136.11(5)</w:t>
        </w:r>
      </w:hyperlink>
      <w:r>
        <w:rPr>
          <w:rFonts w:ascii="Times New Roman" w:hAnsi="Times New Roman"/>
          <w:b w:val="false"/>
          <w:i w:val="false"/>
          <w:color w:val="000000"/>
          <w:sz w:val="22"/>
        </w:rPr>
        <w:t>, the director will instruct the trustee to release to the owner or operator such funds as the director specifies in writing.</w:t>
      </w:r>
    </w:p>
    <w:p>
      <w:pPr>
        <w:spacing w:before="0" w:after="0"/>
        <w:ind w:left="120"/>
        <w:jc w:val="both"/>
      </w:pPr>
      <w:r>
        <w:rPr>
          <w:rFonts w:ascii="Times New Roman" w:hAnsi="Times New Roman"/>
          <w:b/>
          <w:i w:val="false"/>
          <w:color w:val="000000"/>
          <w:sz w:val="22"/>
        </w:rPr>
        <w:t>567—136.12</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Standby trust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136.12(1)</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any one of the mechanisms authorized by rules 567—</w:t>
      </w:r>
      <w:hyperlink r:id="rId105">
        <w:r>
          <w:rPr>
            <w:rStyle w:val="Hyperlink"/>
            <w:rFonts w:ascii="Times New Roman" w:hAnsi="Times New Roman"/>
            <w:b w:val="false"/>
            <w:i w:val="false"/>
            <w:color w:val="000000"/>
            <w:sz w:val="22"/>
          </w:rPr>
          <w:t>136.7</w:t>
        </w:r>
      </w:hyperlink>
      <w:r>
        <w:rPr>
          <w:rFonts w:ascii="Times New Roman" w:hAnsi="Times New Roman"/>
          <w:b w:val="false"/>
          <w:i w:val="false"/>
          <w:color w:val="000000"/>
          <w:sz w:val="22"/>
        </w:rPr>
        <w:t>(455B), 567—</w:t>
      </w:r>
      <w:hyperlink r:id="rId106">
        <w:r>
          <w:rPr>
            <w:rStyle w:val="Hyperlink"/>
            <w:rFonts w:ascii="Times New Roman" w:hAnsi="Times New Roman"/>
            <w:b w:val="false"/>
            <w:i w:val="false"/>
            <w:color w:val="000000"/>
            <w:sz w:val="22"/>
          </w:rPr>
          <w:t>136.9</w:t>
        </w:r>
      </w:hyperlink>
      <w:r>
        <w:rPr>
          <w:rFonts w:ascii="Times New Roman" w:hAnsi="Times New Roman"/>
          <w:b w:val="false"/>
          <w:i w:val="false"/>
          <w:color w:val="000000"/>
          <w:sz w:val="22"/>
        </w:rPr>
        <w:t>(455B) or 567—</w:t>
      </w:r>
      <w:hyperlink r:id="rId107">
        <w:r>
          <w:rPr>
            <w:rStyle w:val="Hyperlink"/>
            <w:rFonts w:ascii="Times New Roman" w:hAnsi="Times New Roman"/>
            <w:b w:val="false"/>
            <w:i w:val="false"/>
            <w:color w:val="000000"/>
            <w:sz w:val="22"/>
          </w:rPr>
          <w:t>136.10</w:t>
        </w:r>
      </w:hyperlink>
      <w:r>
        <w:rPr>
          <w:rFonts w:ascii="Times New Roman" w:hAnsi="Times New Roman"/>
          <w:b w:val="false"/>
          <w:i w:val="false"/>
          <w:color w:val="000000"/>
          <w:sz w:val="22"/>
        </w:rPr>
        <w:t>(455B) must establish a standby trust fund when the mechanism is acquired. The trustee of the standby trust fund must be an entity that has the authority to act as a trustee and whose trust operations are regulated and examined by a federal agency or an agency of the state in which the fund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136.12(2)</w:t>
      </w:r>
      <w:r>
        <w:rPr>
          <w:rFonts w:ascii="Times New Roman" w:hAnsi="Times New Roman"/>
          <w:b w:val="false"/>
          <w:i w:val="false"/>
          <w:color w:val="000000"/>
          <w:sz w:val="22"/>
        </w:rPr>
        <w:t> </w:t>
      </w:r>
      <w:r>
        <w:rPr>
          <w:rFonts w:ascii="Times New Roman" w:hAnsi="Times New Roman"/>
          <w:b w:val="false"/>
          <w:i w:val="false"/>
          <w:color w:val="000000"/>
          <w:sz w:val="22"/>
        </w:rPr>
        <w:t>The standby trust agreement or trust agreement must be worded as follows, except that instructions in brackets are to be replaced with the relevant information and the bracket deleted: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TRUST AGREEMENT</w:t>
      </w:r>
    </w:p>
    <w:p>
      <w:pPr>
        <w:spacing w:before="0" w:after="0"/>
        <w:ind w:left="356"/>
        <w:jc w:val="both"/>
      </w:pPr>
      <w:r>
        <w:rPr>
          <w:rFonts w:ascii="Times New Roman" w:hAnsi="Times New Roman"/>
          <w:b w:val="false"/>
          <w:i w:val="false"/>
          <w:color w:val="000000"/>
          <w:sz w:val="22"/>
        </w:rPr>
        <w:t>Trust agreement, the “Agreement,” entered into as of [date] by and between [name of the owner or operator], a [name of state] [insert “corporation,” “partnership,” “association,” or “proprietorship”], the “Grantor,” and [name of corporate trustee], [insert “Incorporated in the state of ____________________” or “a national bank”], the “Trustee.”</w:t>
      </w:r>
    </w:p>
    <w:p>
      <w:pPr>
        <w:spacing w:before="0" w:after="0"/>
        <w:ind w:left="356"/>
        <w:jc w:val="both"/>
      </w:pPr>
      <w:r>
        <w:rPr>
          <w:rFonts w:ascii="Times New Roman" w:hAnsi="Times New Roman"/>
          <w:b w:val="false"/>
          <w:i w:val="false"/>
          <w:color w:val="000000"/>
          <w:sz w:val="22"/>
        </w:rPr>
        <w:t>[Whereas, the Iowa Department of Natural Resources has established certain rules applicable to the Grantor, requiring that an owner or operator of an underground storage tank shall provide assurance that funds will be available when needed for corrective action and third-party compensation for bodily injury and property damage caused by sudden and nonsudden accidental releases arising from the operation of the underground storage tank. The attached Schedule A lists the number of tanks at each facility and the name(s) and address(es) of the facility(ies) where the tanks are located that are covered by the standby trust agreement.]</w:t>
      </w:r>
    </w:p>
    <w:p>
      <w:pPr>
        <w:spacing w:before="0" w:after="0"/>
        <w:ind w:left="356"/>
        <w:jc w:val="both"/>
      </w:pPr>
      <w:r>
        <w:rPr>
          <w:rFonts w:ascii="Times New Roman" w:hAnsi="Times New Roman"/>
          <w:b w:val="false"/>
          <w:i w:val="false"/>
          <w:color w:val="000000"/>
          <w:sz w:val="22"/>
        </w:rPr>
        <w:t>[Whereas, the Grantor has elected to establish [insert either “a guarantee,” “surety bond,” or “letter of credit”] to provide all or part of such financial assurance for the underground storage tanks identified herein and is required to establish a standby trust fund able to accept payments from the instrument (This paragraph is only applicable to the standby trust agreement.)];</w:t>
      </w:r>
    </w:p>
    <w:p>
      <w:pPr>
        <w:spacing w:before="0" w:after="0"/>
        <w:ind w:left="356"/>
        <w:jc w:val="both"/>
      </w:pPr>
      <w:r>
        <w:rPr>
          <w:rFonts w:ascii="Times New Roman" w:hAnsi="Times New Roman"/>
          <w:b w:val="false"/>
          <w:i w:val="false"/>
          <w:color w:val="000000"/>
          <w:sz w:val="22"/>
        </w:rPr>
        <w:t>[Whereas, the Grantor, acting through its duly authorized officers, has selected the Trustee to be the trustee under this agreement, and the Trustee is willing to act as trustee];</w:t>
      </w:r>
    </w:p>
    <w:p>
      <w:pPr>
        <w:spacing w:before="0" w:after="0"/>
        <w:ind w:left="356"/>
        <w:jc w:val="both"/>
      </w:pPr>
      <w:r>
        <w:rPr>
          <w:rFonts w:ascii="Times New Roman" w:hAnsi="Times New Roman"/>
          <w:b w:val="false"/>
          <w:i w:val="false"/>
          <w:color w:val="000000"/>
          <w:sz w:val="22"/>
        </w:rPr>
        <w:t>Now, therefore, the Grantor and the Trustee agree as follows:</w:t>
      </w:r>
    </w:p>
    <w:p>
      <w:pPr>
        <w:spacing w:before="0" w:after="0"/>
        <w:ind w:left="356"/>
        <w:jc w:val="both"/>
      </w:pPr>
      <w:r>
        <w:rPr>
          <w:rFonts w:ascii="Times New Roman" w:hAnsi="Times New Roman"/>
          <w:b w:val="false"/>
          <w:i/>
          <w:color w:val="000000"/>
          <w:sz w:val="22"/>
        </w:rPr>
        <w:t>Section 1. Definitions.</w:t>
      </w:r>
      <w:r>
        <w:rPr>
          <w:rFonts w:ascii="Times New Roman" w:hAnsi="Times New Roman"/>
          <w:b w:val="false"/>
          <w:i w:val="false"/>
          <w:color w:val="000000"/>
          <w:sz w:val="22"/>
        </w:rPr>
        <w:t xml:space="preserve"> As used in this Agreement:</w:t>
      </w:r>
    </w:p>
    <w:p>
      <w:pPr>
        <w:spacing w:before="0" w:after="0"/>
        <w:ind w:left="356"/>
        <w:jc w:val="both"/>
      </w:pPr>
      <w:r>
        <w:rPr>
          <w:rFonts w:ascii="Times New Roman" w:hAnsi="Times New Roman"/>
          <w:b w:val="false"/>
          <w:i w:val="false"/>
          <w:color w:val="000000"/>
          <w:sz w:val="22"/>
        </w:rPr>
        <w:t>(a) The term “Grantor” means the owner or operator who enters into this Agreement and any successors or assigns of the Grantor.</w:t>
      </w:r>
    </w:p>
    <w:p>
      <w:pPr>
        <w:spacing w:before="0" w:after="0"/>
        <w:ind w:left="356"/>
        <w:jc w:val="both"/>
      </w:pPr>
      <w:r>
        <w:rPr>
          <w:rFonts w:ascii="Times New Roman" w:hAnsi="Times New Roman"/>
          <w:b w:val="false"/>
          <w:i w:val="false"/>
          <w:color w:val="000000"/>
          <w:sz w:val="22"/>
        </w:rPr>
        <w:t>(b) The term “Trustee” means the Trustee who enters into this Agreement and any successor Trustee.</w:t>
      </w:r>
    </w:p>
    <w:p>
      <w:pPr>
        <w:spacing w:before="0" w:after="0"/>
        <w:ind w:left="356"/>
        <w:jc w:val="both"/>
      </w:pPr>
      <w:r>
        <w:rPr>
          <w:rFonts w:ascii="Times New Roman" w:hAnsi="Times New Roman"/>
          <w:b w:val="false"/>
          <w:i w:val="false"/>
          <w:color w:val="000000"/>
          <w:sz w:val="22"/>
        </w:rPr>
        <w:t>[</w:t>
      </w:r>
      <w:r>
        <w:rPr>
          <w:rFonts w:ascii="Times New Roman" w:hAnsi="Times New Roman"/>
          <w:b w:val="false"/>
          <w:i/>
          <w:color w:val="000000"/>
          <w:sz w:val="22"/>
        </w:rPr>
        <w:t>Section 2. Identification of the Financial Assurance Mechanism.</w:t>
      </w:r>
      <w:r>
        <w:rPr>
          <w:rFonts w:ascii="Times New Roman" w:hAnsi="Times New Roman"/>
          <w:b w:val="false"/>
          <w:i w:val="false"/>
          <w:color w:val="000000"/>
          <w:sz w:val="22"/>
        </w:rPr>
        <w:t xml:space="preserve"> This Agreement pertains to the [identify the financial assurance mechanism, either a guarantee, surety bond, or letter of credit, from which the standby trust fund is established to receive payments (This paragraph is only applicable to the standby trust agreement.)].</w:t>
      </w:r>
    </w:p>
    <w:p>
      <w:pPr>
        <w:spacing w:before="0" w:after="0"/>
        <w:ind w:left="356"/>
        <w:jc w:val="both"/>
      </w:pPr>
      <w:r>
        <w:rPr>
          <w:rFonts w:ascii="Times New Roman" w:hAnsi="Times New Roman"/>
          <w:b w:val="false"/>
          <w:i/>
          <w:color w:val="000000"/>
          <w:sz w:val="22"/>
        </w:rPr>
        <w:t>Section 3. Establishment of Fund.</w:t>
      </w:r>
      <w:r>
        <w:rPr>
          <w:rFonts w:ascii="Times New Roman" w:hAnsi="Times New Roman"/>
          <w:b w:val="false"/>
          <w:i w:val="false"/>
          <w:color w:val="000000"/>
          <w:sz w:val="22"/>
        </w:rPr>
        <w:t xml:space="preserve"> The Grantor and the Trustee hereby establish a trust fund, the “Fund,” for the benefit of the Iowa Department of Natural Resources. The Grantor and the Trustee intend that no third party have access to the Fund except as herein provided. [The Fund is established initially as a standby to receive payments and shall not consist of any property.] Payments made by the provider of financial assurance pursuant to the Director of the Iowa Department of Natural Resources. Instructions are transferred to the Trustee and are referred to as the Fund, together with all earnings and profits thereon, less any payments or distributions made by the Trustee pursuant to this Agreement. The Fund shall be held by the Trustee, IN TRUST, as hereinafter provided. The Trustee shall not be responsible nor shall it undertake any responsibility for the amount or adequacy of, nor any duty to collect from the Grantor as provider of financial assurance, any payments necessary to discharge any liability of the Grantor established by the Iowa Department of Natural Resources.</w:t>
      </w:r>
    </w:p>
    <w:p>
      <w:pPr>
        <w:spacing w:before="0" w:after="0"/>
        <w:ind w:left="356"/>
        <w:jc w:val="both"/>
      </w:pPr>
      <w:r>
        <w:rPr>
          <w:rFonts w:ascii="Times New Roman" w:hAnsi="Times New Roman"/>
          <w:b w:val="false"/>
          <w:i/>
          <w:color w:val="000000"/>
          <w:sz w:val="22"/>
        </w:rPr>
        <w:t>Section 4. Payment for [“Corrective Action” and/or “Third-Party Liability Claims”].</w:t>
      </w:r>
      <w:r>
        <w:rPr>
          <w:rFonts w:ascii="Times New Roman" w:hAnsi="Times New Roman"/>
          <w:b w:val="false"/>
          <w:i w:val="false"/>
          <w:color w:val="000000"/>
          <w:sz w:val="22"/>
        </w:rPr>
        <w:t xml:space="preserve"> The Trustee shall make payments from the Fund as the Director of the Iowa Department of Natural Resources shall direct, in writing, to provide for the payment of the costs of [insert: “Taking corrective action” and/or “compensating third parties for bodily injury and property damage caused by” either “sudden accidental releases” or “nonsudden accidental releases” or “accidental releases”] arising from operating the tanks covered by the financial assurance mechanism identified in this Agreement.</w:t>
      </w:r>
    </w:p>
    <w:p>
      <w:pPr>
        <w:spacing w:before="0" w:after="0"/>
        <w:ind w:left="356"/>
        <w:jc w:val="both"/>
      </w:pPr>
      <w:r>
        <w:rPr>
          <w:rFonts w:ascii="Times New Roman" w:hAnsi="Times New Roman"/>
          <w:b w:val="false"/>
          <w:i w:val="false"/>
          <w:color w:val="000000"/>
          <w:sz w:val="22"/>
        </w:rPr>
        <w:t>The Fund may not be drawn upon to cover any of the following:</w:t>
      </w:r>
    </w:p>
    <w:p>
      <w:pPr>
        <w:spacing w:before="0" w:after="0"/>
        <w:ind w:left="356"/>
        <w:jc w:val="both"/>
      </w:pPr>
      <w:r>
        <w:rPr>
          <w:rFonts w:ascii="Times New Roman" w:hAnsi="Times New Roman"/>
          <w:b w:val="false"/>
          <w:i w:val="false"/>
          <w:color w:val="000000"/>
          <w:sz w:val="22"/>
        </w:rPr>
        <w:t>(a) Any obligation of [insert owner or operator] under a workers’ compensation, disability benefits, or unemployment compensation law or other similar law;</w:t>
      </w:r>
    </w:p>
    <w:p>
      <w:pPr>
        <w:spacing w:before="0" w:after="0"/>
        <w:ind w:left="356"/>
        <w:jc w:val="both"/>
      </w:pPr>
      <w:r>
        <w:rPr>
          <w:rFonts w:ascii="Times New Roman" w:hAnsi="Times New Roman"/>
          <w:b w:val="false"/>
          <w:i w:val="false"/>
          <w:color w:val="000000"/>
          <w:sz w:val="22"/>
        </w:rPr>
        <w:t>(b) Bodily injury to an employee of [insert owner or operator] arising from, and in the course of, employment by [insert owner or operator];</w:t>
      </w:r>
    </w:p>
    <w:p>
      <w:pPr>
        <w:spacing w:before="0" w:after="0"/>
        <w:ind w:left="356"/>
        <w:jc w:val="both"/>
      </w:pPr>
      <w:r>
        <w:rPr>
          <w:rFonts w:ascii="Times New Roman" w:hAnsi="Times New Roman"/>
          <w:b w:val="false"/>
          <w:i w:val="false"/>
          <w:color w:val="000000"/>
          <w:sz w:val="22"/>
        </w:rPr>
        <w:t>(c) Bodily injury or property damage arising from the ownership, maintenance, use, or entrustment to others of any aircraft, motor vehicle, or watercraft;</w:t>
      </w:r>
    </w:p>
    <w:p>
      <w:pPr>
        <w:spacing w:before="0" w:after="0"/>
        <w:ind w:left="356"/>
        <w:jc w:val="both"/>
      </w:pPr>
      <w:r>
        <w:rPr>
          <w:rFonts w:ascii="Times New Roman" w:hAnsi="Times New Roman"/>
          <w:b w:val="false"/>
          <w:i w:val="false"/>
          <w:color w:val="000000"/>
          <w:sz w:val="22"/>
        </w:rPr>
        <w:t>(d) Property damage to any property owned, rented, loaned to, in the care, custody, or control of, or occupied by [insert owner or operator] that is not the direct result of a release from a petroleum underground storage tank;</w:t>
      </w:r>
    </w:p>
    <w:p>
      <w:pPr>
        <w:spacing w:before="0" w:after="0"/>
        <w:ind w:left="356"/>
        <w:jc w:val="both"/>
      </w:pPr>
      <w:r>
        <w:rPr>
          <w:rFonts w:ascii="Times New Roman" w:hAnsi="Times New Roman"/>
          <w:b w:val="false"/>
          <w:i w:val="false"/>
          <w:color w:val="000000"/>
          <w:sz w:val="22"/>
        </w:rPr>
        <w:t xml:space="preserve">(e) Bodily injury or property damage for which [insert owner or operator] is obligated to pay damages by reason of the assumption of liability in a contract or agreement other than a contract or agreement entered into to meet the requirements of rule </w:t>
      </w:r>
      <w:hyperlink r:id="rId108">
        <w:r>
          <w:rPr>
            <w:rStyle w:val="Hyperlink"/>
            <w:rFonts w:ascii="Times New Roman" w:hAnsi="Times New Roman"/>
            <w:b w:val="false"/>
            <w:i w:val="false"/>
            <w:color w:val="000000"/>
            <w:sz w:val="22"/>
          </w:rPr>
          <w:t>567—136.4(455B)</w:t>
        </w:r>
      </w:hyperlink>
      <w:r>
        <w:rPr>
          <w:rFonts w:ascii="Times New Roman" w:hAnsi="Times New Roman"/>
          <w:b w:val="false"/>
          <w:i w:val="false"/>
          <w:color w:val="000000"/>
          <w:sz w:val="22"/>
        </w:rPr>
        <w:t>.</w:t>
      </w:r>
    </w:p>
    <w:p>
      <w:pPr>
        <w:spacing w:before="0" w:after="0"/>
        <w:ind w:left="356"/>
        <w:jc w:val="both"/>
      </w:pPr>
      <w:r>
        <w:rPr>
          <w:rFonts w:ascii="Times New Roman" w:hAnsi="Times New Roman"/>
          <w:b w:val="false"/>
          <w:i w:val="false"/>
          <w:color w:val="000000"/>
          <w:sz w:val="22"/>
        </w:rPr>
        <w:t>The Trustee shall reimburse the Grantor, or other persons as specified by the Director, from the Fund for corrective action expenditures and/or third-party liability claims in such amounts as the Director shall direct in writing. In addition, the Trustee shall refund to the Grantor such amounts as the Director specifies in writing. Upon refund, such funds shall no longer constitute part of the Fund as defined herein.</w:t>
      </w:r>
    </w:p>
    <w:p>
      <w:pPr>
        <w:spacing w:before="0" w:after="0"/>
        <w:ind w:left="356"/>
        <w:jc w:val="both"/>
      </w:pPr>
      <w:r>
        <w:rPr>
          <w:rFonts w:ascii="Times New Roman" w:hAnsi="Times New Roman"/>
          <w:b w:val="false"/>
          <w:i/>
          <w:color w:val="000000"/>
          <w:sz w:val="22"/>
        </w:rPr>
        <w:t>Section 5. Payments Comprising the Fund.</w:t>
      </w:r>
      <w:r>
        <w:rPr>
          <w:rFonts w:ascii="Times New Roman" w:hAnsi="Times New Roman"/>
          <w:b w:val="false"/>
          <w:i w:val="false"/>
          <w:color w:val="000000"/>
          <w:sz w:val="22"/>
        </w:rPr>
        <w:t xml:space="preserve"> Payments made to the Trustee for the Fund shall consist of cash and securities acceptable to the Trustee.</w:t>
      </w:r>
    </w:p>
    <w:p>
      <w:pPr>
        <w:spacing w:before="0" w:after="0"/>
        <w:ind w:left="356"/>
        <w:jc w:val="both"/>
      </w:pPr>
      <w:r>
        <w:rPr>
          <w:rFonts w:ascii="Times New Roman" w:hAnsi="Times New Roman"/>
          <w:b w:val="false"/>
          <w:i/>
          <w:color w:val="000000"/>
          <w:sz w:val="22"/>
        </w:rPr>
        <w:t>Section 6. Trustee Management.</w:t>
      </w:r>
      <w:r>
        <w:rPr>
          <w:rFonts w:ascii="Times New Roman" w:hAnsi="Times New Roman"/>
          <w:b w:val="false"/>
          <w:i w:val="false"/>
          <w:color w:val="000000"/>
          <w:sz w:val="22"/>
        </w:rPr>
        <w:t xml:space="preserve"> The Trustee shall invest and reinvest the principal and income of the Fund and keep the Fund invested as a single fund, without distinction between principal and income, in accordance with general investment policies and guidelines which the Grantor may communicate in writing to the Trustee from time to time, subject, however, to the provisions of this Section. In investing, reinvesting, exchanging, selling, and managing the Fund, the Trustee shall discharge duties with respect to the trust fund solely in the interest of the beneficiaries and with the care, skill, prudence, and diligence under the circumstances then prevailing which persons of prudence, acting in a like capacity and familiar with such matters, would use in the conduct of an enterprise of like character and with like aims; except that:</w:t>
      </w:r>
    </w:p>
    <w:p>
      <w:pPr>
        <w:spacing w:before="0" w:after="0"/>
        <w:ind w:left="356"/>
        <w:jc w:val="both"/>
      </w:pPr>
      <w:r>
        <w:rPr>
          <w:rFonts w:ascii="Times New Roman" w:hAnsi="Times New Roman"/>
          <w:b w:val="false"/>
          <w:i w:val="false"/>
          <w:color w:val="000000"/>
          <w:sz w:val="22"/>
        </w:rPr>
        <w:t>(i) Securities or other obligations of the Grantor, or any other owner or operator of the tanks, or any of their affiliates as defined in the Investment Company Act of 1940, as amended, 15 U.S.C. 80a-2(a), shall not be acquired or held, unless they are securities or other obligations of the federal or a state government;</w:t>
      </w:r>
    </w:p>
    <w:p>
      <w:pPr>
        <w:spacing w:before="0" w:after="0"/>
        <w:ind w:left="356"/>
        <w:jc w:val="both"/>
      </w:pPr>
      <w:r>
        <w:rPr>
          <w:rFonts w:ascii="Times New Roman" w:hAnsi="Times New Roman"/>
          <w:b w:val="false"/>
          <w:i w:val="false"/>
          <w:color w:val="000000"/>
          <w:sz w:val="22"/>
        </w:rPr>
        <w:t>(ii) The Trustee is authorized to invest the Fund in time or demand deposits of the Trustee, to the extent insured by an agency of the federal or state government; and</w:t>
      </w:r>
    </w:p>
    <w:p>
      <w:pPr>
        <w:spacing w:before="0" w:after="0"/>
        <w:ind w:left="356"/>
        <w:jc w:val="both"/>
      </w:pPr>
      <w:r>
        <w:rPr>
          <w:rFonts w:ascii="Times New Roman" w:hAnsi="Times New Roman"/>
          <w:b w:val="false"/>
          <w:i w:val="false"/>
          <w:color w:val="000000"/>
          <w:sz w:val="22"/>
        </w:rPr>
        <w:t>(iii) The Trustee is authorized to hold cash awaiting investment or distribution uninvested for a reasonable time and without liability for the payment of interest thereon.</w:t>
      </w:r>
    </w:p>
    <w:p>
      <w:pPr>
        <w:spacing w:before="0" w:after="0"/>
        <w:ind w:left="356"/>
        <w:jc w:val="both"/>
      </w:pPr>
      <w:r>
        <w:rPr>
          <w:rFonts w:ascii="Times New Roman" w:hAnsi="Times New Roman"/>
          <w:b w:val="false"/>
          <w:i/>
          <w:color w:val="000000"/>
          <w:sz w:val="22"/>
        </w:rPr>
        <w:t>Section 7. Commingling and Investment.</w:t>
      </w:r>
      <w:r>
        <w:rPr>
          <w:rFonts w:ascii="Times New Roman" w:hAnsi="Times New Roman"/>
          <w:b w:val="false"/>
          <w:i w:val="false"/>
          <w:color w:val="000000"/>
          <w:sz w:val="22"/>
        </w:rPr>
        <w:t xml:space="preserve"> The Trustee is expressly authorized in its discretion:</w:t>
      </w:r>
    </w:p>
    <w:p>
      <w:pPr>
        <w:spacing w:before="0" w:after="0"/>
        <w:ind w:left="356"/>
        <w:jc w:val="both"/>
      </w:pPr>
      <w:r>
        <w:rPr>
          <w:rFonts w:ascii="Times New Roman" w:hAnsi="Times New Roman"/>
          <w:b w:val="false"/>
          <w:i w:val="false"/>
          <w:color w:val="000000"/>
          <w:sz w:val="22"/>
        </w:rPr>
        <w:t>(a) To transfer from time to time any or all of the assets of the Fund to any common, commingled, or collective trust fund created by the Trustee in which the Fund is eligible to participate, subject to all of the provisions thereof, to be commingled with the assets of other trusts participating therein; and</w:t>
      </w:r>
    </w:p>
    <w:p>
      <w:pPr>
        <w:spacing w:before="0" w:after="0"/>
        <w:ind w:left="356"/>
        <w:jc w:val="both"/>
      </w:pPr>
      <w:r>
        <w:rPr>
          <w:rFonts w:ascii="Times New Roman" w:hAnsi="Times New Roman"/>
          <w:b w:val="false"/>
          <w:i w:val="false"/>
          <w:color w:val="000000"/>
          <w:sz w:val="22"/>
        </w:rPr>
        <w:t>(b) To purchase shares in any investment company registered under the Investment Company Act of 1940, 15 U.S.C. 80a-1 et seq., including one which may be created, managed, underwritten, or to which investment advice is rendered or the shares of which are sold by the Trustee. The Trustee may vote such shares in its discretion.</w:t>
      </w:r>
    </w:p>
    <w:p>
      <w:pPr>
        <w:spacing w:before="0" w:after="0"/>
        <w:ind w:left="356"/>
        <w:jc w:val="both"/>
      </w:pPr>
      <w:r>
        <w:rPr>
          <w:rFonts w:ascii="Times New Roman" w:hAnsi="Times New Roman"/>
          <w:b w:val="false"/>
          <w:i/>
          <w:color w:val="000000"/>
          <w:sz w:val="22"/>
        </w:rPr>
        <w:t>Section 8. Express Powers of Trustee.</w:t>
      </w:r>
      <w:r>
        <w:rPr>
          <w:rFonts w:ascii="Times New Roman" w:hAnsi="Times New Roman"/>
          <w:b w:val="false"/>
          <w:i w:val="false"/>
          <w:color w:val="000000"/>
          <w:sz w:val="22"/>
        </w:rPr>
        <w:t xml:space="preserve"> Without in any way limiting the powers and discretions conferred upon the Trustee by the other provisions of this Agreement or by law, the Trustee is expressly authorized and empowered:</w:t>
      </w:r>
    </w:p>
    <w:p>
      <w:pPr>
        <w:spacing w:before="0" w:after="0"/>
        <w:ind w:left="356"/>
        <w:jc w:val="both"/>
      </w:pPr>
      <w:r>
        <w:rPr>
          <w:rFonts w:ascii="Times New Roman" w:hAnsi="Times New Roman"/>
          <w:b w:val="false"/>
          <w:i w:val="false"/>
          <w:color w:val="000000"/>
          <w:sz w:val="22"/>
        </w:rPr>
        <w:t>(a) To sell, exchange, convey, transfer, or otherwise dispose of any property held by it, by public or private sale. No person dealing with the Trustee shall be bound to see to the application of the purchase money or to inquire into the validity or expediency of any such sale or other disposition;</w:t>
      </w:r>
    </w:p>
    <w:p>
      <w:pPr>
        <w:spacing w:before="0" w:after="0"/>
        <w:ind w:left="356"/>
        <w:jc w:val="both"/>
      </w:pPr>
      <w:r>
        <w:rPr>
          <w:rFonts w:ascii="Times New Roman" w:hAnsi="Times New Roman"/>
          <w:b w:val="false"/>
          <w:i w:val="false"/>
          <w:color w:val="000000"/>
          <w:sz w:val="22"/>
        </w:rPr>
        <w:t>(b) To make, execute, acknowledge, and deliver any and all documents of transfer and conveyance and any and all other instruments that may be necessary or appropriate to carry out the powers herein granted;</w:t>
      </w:r>
    </w:p>
    <w:p>
      <w:pPr>
        <w:spacing w:before="0" w:after="0"/>
        <w:ind w:left="356"/>
        <w:jc w:val="both"/>
      </w:pPr>
      <w:r>
        <w:rPr>
          <w:rFonts w:ascii="Times New Roman" w:hAnsi="Times New Roman"/>
          <w:b w:val="false"/>
          <w:i w:val="false"/>
          <w:color w:val="000000"/>
          <w:sz w:val="22"/>
        </w:rPr>
        <w:t>(c) To register any securities held in the Fund in its own name or in the name of a nominee and to hold any security in bearer form or in book entry, or to combine certificates representing such securities with certificates of the same issue held by the Trustee in other fiduciary capacities, or to deposit or arrange for the deposit of such securities in a qualified central depository even though, when so deposited, such securities may be merged and held in bulk in the name of the nominee of such 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pPr>
        <w:spacing w:before="0" w:after="0"/>
        <w:ind w:left="356"/>
        <w:jc w:val="both"/>
      </w:pPr>
      <w:r>
        <w:rPr>
          <w:rFonts w:ascii="Times New Roman" w:hAnsi="Times New Roman"/>
          <w:b w:val="false"/>
          <w:i w:val="false"/>
          <w:color w:val="000000"/>
          <w:sz w:val="22"/>
        </w:rPr>
        <w:t>(d) To deposit any cash in the Fund in interest-bearing accounts maintained or saving certificates issued by the Trustee, in its separate corporate capacity, or in any other banking institution affiliated with the Trustee, to the extent insured by an agency of the federal or state government; and</w:t>
      </w:r>
    </w:p>
    <w:p>
      <w:pPr>
        <w:spacing w:before="0" w:after="0"/>
        <w:ind w:left="356"/>
        <w:jc w:val="both"/>
      </w:pPr>
      <w:r>
        <w:rPr>
          <w:rFonts w:ascii="Times New Roman" w:hAnsi="Times New Roman"/>
          <w:b w:val="false"/>
          <w:i w:val="false"/>
          <w:color w:val="000000"/>
          <w:sz w:val="22"/>
        </w:rPr>
        <w:t>(e) To compromise or otherwise adjust all claims in favor of or against the Fund.</w:t>
      </w:r>
    </w:p>
    <w:p>
      <w:pPr>
        <w:spacing w:before="0" w:after="0"/>
        <w:ind w:left="356"/>
        <w:jc w:val="both"/>
      </w:pPr>
      <w:r>
        <w:rPr>
          <w:rFonts w:ascii="Times New Roman" w:hAnsi="Times New Roman"/>
          <w:b w:val="false"/>
          <w:i/>
          <w:color w:val="000000"/>
          <w:sz w:val="22"/>
        </w:rPr>
        <w:t>Section 9. Taxes and Expenses.</w:t>
      </w:r>
      <w:r>
        <w:rPr>
          <w:rFonts w:ascii="Times New Roman" w:hAnsi="Times New Roman"/>
          <w:b w:val="false"/>
          <w:i w:val="false"/>
          <w:color w:val="000000"/>
          <w:sz w:val="22"/>
        </w:rPr>
        <w:t xml:space="preserve"> All taxes of any kind that may be assessed or levied against or in respect of the Fund and all brokerage commissions incurred by the Fund shall be paid from the Fund. 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Trustee shall be paid from the Fund.</w:t>
      </w:r>
    </w:p>
    <w:p>
      <w:pPr>
        <w:spacing w:before="0" w:after="0"/>
        <w:ind w:left="356"/>
        <w:jc w:val="both"/>
      </w:pPr>
      <w:r>
        <w:rPr>
          <w:rFonts w:ascii="Times New Roman" w:hAnsi="Times New Roman"/>
          <w:b w:val="false"/>
          <w:i/>
          <w:color w:val="000000"/>
          <w:sz w:val="22"/>
        </w:rPr>
        <w:t>Section 10. Advice of Counsel.</w:t>
      </w:r>
      <w:r>
        <w:rPr>
          <w:rFonts w:ascii="Times New Roman" w:hAnsi="Times New Roman"/>
          <w:b w:val="false"/>
          <w:i w:val="false"/>
          <w:color w:val="000000"/>
          <w:sz w:val="22"/>
        </w:rPr>
        <w:t xml:space="preserve"> The Trustee may from time to time consult with counsel, who may be counsel to the Grantor, with respect to any questions arising as to the construction of this Agreement or any action to be taken hereunder. The Trustee shall be fully protected, to the extent permitted by law, in acting upon the advice of counsel.</w:t>
      </w:r>
    </w:p>
    <w:p>
      <w:pPr>
        <w:spacing w:before="0" w:after="0"/>
        <w:ind w:left="356"/>
        <w:jc w:val="both"/>
      </w:pPr>
      <w:r>
        <w:rPr>
          <w:rFonts w:ascii="Times New Roman" w:hAnsi="Times New Roman"/>
          <w:b w:val="false"/>
          <w:i/>
          <w:color w:val="000000"/>
          <w:sz w:val="22"/>
        </w:rPr>
        <w:t>Section 11. Trustee Compensation.</w:t>
      </w:r>
      <w:r>
        <w:rPr>
          <w:rFonts w:ascii="Times New Roman" w:hAnsi="Times New Roman"/>
          <w:b w:val="false"/>
          <w:i w:val="false"/>
          <w:color w:val="000000"/>
          <w:sz w:val="22"/>
        </w:rPr>
        <w:t xml:space="preserve"> The Trustee shall be entitled to reasonable compensation for its services as agreed upon in writing from time to time with the Grantor.</w:t>
      </w:r>
    </w:p>
    <w:p>
      <w:pPr>
        <w:spacing w:before="0" w:after="0"/>
        <w:ind w:left="356"/>
        <w:jc w:val="both"/>
      </w:pPr>
      <w:r>
        <w:rPr>
          <w:rFonts w:ascii="Times New Roman" w:hAnsi="Times New Roman"/>
          <w:b w:val="false"/>
          <w:i/>
          <w:color w:val="000000"/>
          <w:sz w:val="22"/>
        </w:rPr>
        <w:t>Section 12. Successor Trustee.</w:t>
      </w:r>
      <w:r>
        <w:rPr>
          <w:rFonts w:ascii="Times New Roman" w:hAnsi="Times New Roman"/>
          <w:b w:val="false"/>
          <w:i w:val="false"/>
          <w:color w:val="000000"/>
          <w:sz w:val="22"/>
        </w:rPr>
        <w:t xml:space="preserve"> The Trustee may resign or the Grantor may replace the Trustee, but such resignation or replacement shall not be effective until the Grantor has appointed a successor trustee and this successor accepts the appointment. The successor trustee shall have the same powers and duties as those conferred upon the Trustee hereunder. Upon the successor trustee’s acceptance of the appointment, the Trustee shall assign, transfer, and pay over to the successor trustee the funds and properties then constituting the Fund. If for any reason the Grantor cannot or does not act in the event of the resignation of the Trustee, the Trustee may apply to a court of competent jurisdiction for the appointment of a successor trustee or for instructions. The successor trustee shall specify the date on which it assumes administration of the trust in writing sent to the Grantor and the present Trustee by certified mail 10 days before such change becomes effective. Any expenses incurred by the Trustee as a result of any of the acts contemplated by this Section shall be paid as provided in Section 9.</w:t>
      </w:r>
    </w:p>
    <w:p>
      <w:pPr>
        <w:spacing w:before="0" w:after="0"/>
        <w:ind w:left="356"/>
        <w:jc w:val="both"/>
      </w:pPr>
      <w:r>
        <w:rPr>
          <w:rFonts w:ascii="Times New Roman" w:hAnsi="Times New Roman"/>
          <w:b w:val="false"/>
          <w:i/>
          <w:color w:val="000000"/>
          <w:sz w:val="22"/>
        </w:rPr>
        <w:t>Section 13. Instructions to the Trustee.</w:t>
      </w:r>
      <w:r>
        <w:rPr>
          <w:rFonts w:ascii="Times New Roman" w:hAnsi="Times New Roman"/>
          <w:b w:val="false"/>
          <w:i w:val="false"/>
          <w:color w:val="000000"/>
          <w:sz w:val="22"/>
        </w:rPr>
        <w:t xml:space="preserve"> All orders, requests and instructions by the Grantor to the Trustee shall be in writing, signed by such persons as are designated in the attached Schedule B or such other designees as the Grantor may designate by amendment to Schedule B. The Trustee shall be fully protected in acting without inquiry in accordance with the Grantor’s orders, requests, and instructions. All orders, requests, and instructions by the Director of the Iowa Department of Natural Resources to the Trustee shall be in writing, signed by the Director, and the Trustee shall act and shall be fully protected in acting in accordance with such orders, requests, and instructions. The Trustee shall have the right to assume, in the absence of written notice to the contrary, that no event constituting a change or a termination of the authority of any person to act on behalf of the Grantor or the Director hereunder has occurred. The Trustee shall have no duty to act in the absence of such orders, requests, and instructions from the Grantor and/or the Director, except as provided for herein.</w:t>
      </w:r>
    </w:p>
    <w:p>
      <w:pPr>
        <w:spacing w:before="0" w:after="0"/>
        <w:ind w:left="356"/>
        <w:jc w:val="both"/>
      </w:pPr>
      <w:r>
        <w:rPr>
          <w:rFonts w:ascii="Times New Roman" w:hAnsi="Times New Roman"/>
          <w:b w:val="false"/>
          <w:i/>
          <w:color w:val="000000"/>
          <w:sz w:val="22"/>
        </w:rPr>
        <w:t>Section 14. Amendment of Agreement.</w:t>
      </w:r>
      <w:r>
        <w:rPr>
          <w:rFonts w:ascii="Times New Roman" w:hAnsi="Times New Roman"/>
          <w:b w:val="false"/>
          <w:i w:val="false"/>
          <w:color w:val="000000"/>
          <w:sz w:val="22"/>
        </w:rPr>
        <w:t xml:space="preserve"> This Agreement may be amended by an instrument in writing executed by the Grantor and the Trustee, or by the Trustee and the Director of the Iowa Department of Natural Resources if the Grantor ceases to exist.</w:t>
      </w:r>
    </w:p>
    <w:p>
      <w:pPr>
        <w:spacing w:before="0" w:after="0"/>
        <w:ind w:left="356"/>
        <w:jc w:val="both"/>
      </w:pPr>
      <w:r>
        <w:rPr>
          <w:rFonts w:ascii="Times New Roman" w:hAnsi="Times New Roman"/>
          <w:b w:val="false"/>
          <w:i/>
          <w:color w:val="000000"/>
          <w:sz w:val="22"/>
        </w:rPr>
        <w:t>Section 15. Irrevocability and Termination.</w:t>
      </w:r>
      <w:r>
        <w:rPr>
          <w:rFonts w:ascii="Times New Roman" w:hAnsi="Times New Roman"/>
          <w:b w:val="false"/>
          <w:i w:val="false"/>
          <w:color w:val="000000"/>
          <w:sz w:val="22"/>
        </w:rPr>
        <w:t xml:space="preserve"> Subject to the right of the parties to amend this Agreement as provided in Section 14, this Trust shall be irrevocable and shall continue until terminated at the written direction of the Grantor and the Trustee, or by the Trustee and the Director of the Iowa Department of Natural Resources, if the Grantor ceases to exist. Upon termination of the Trust, all remaining trust property, less final trust administration expenses, shall be delivered to the Grantor.</w:t>
      </w:r>
    </w:p>
    <w:p>
      <w:pPr>
        <w:spacing w:before="0" w:after="0"/>
        <w:ind w:left="356"/>
        <w:jc w:val="both"/>
      </w:pPr>
      <w:r>
        <w:rPr>
          <w:rFonts w:ascii="Times New Roman" w:hAnsi="Times New Roman"/>
          <w:b w:val="false"/>
          <w:i/>
          <w:color w:val="000000"/>
          <w:sz w:val="22"/>
        </w:rPr>
        <w:t>Section 16. Immunity and Indemnification.</w:t>
      </w:r>
      <w:r>
        <w:rPr>
          <w:rFonts w:ascii="Times New Roman" w:hAnsi="Times New Roman"/>
          <w:b w:val="false"/>
          <w:i w:val="false"/>
          <w:color w:val="000000"/>
          <w:sz w:val="22"/>
        </w:rPr>
        <w:t xml:space="preserve"> The Trustee shall not incur personal liability of any nature in connection with any act or omission, made in good faith, in the administration of this Trust, or in carrying out any directions by the Grantor or the Director of the Iowa Department of Natural Resources issued in accordance with this Agreement. The Trustee shall be indemnified and saved harmless by the Grantor, from and against any personal liability to which the Trustee may be subjected by reason of any act or conduct in its official capacity, including all expenses reasonably incurred in its defense in the event the Grantor fails to provide such defense.</w:t>
      </w:r>
    </w:p>
    <w:p>
      <w:pPr>
        <w:spacing w:before="0" w:after="0"/>
        <w:ind w:left="356"/>
        <w:jc w:val="both"/>
      </w:pPr>
      <w:r>
        <w:rPr>
          <w:rFonts w:ascii="Times New Roman" w:hAnsi="Times New Roman"/>
          <w:b w:val="false"/>
          <w:i/>
          <w:color w:val="000000"/>
          <w:sz w:val="22"/>
        </w:rPr>
        <w:t>Section 17. Choice of Law.</w:t>
      </w:r>
      <w:r>
        <w:rPr>
          <w:rFonts w:ascii="Times New Roman" w:hAnsi="Times New Roman"/>
          <w:b w:val="false"/>
          <w:i w:val="false"/>
          <w:color w:val="000000"/>
          <w:sz w:val="22"/>
        </w:rPr>
        <w:t xml:space="preserve"> This Agreement shall be administered, construed, and enforced according to the laws of the state of Iowa, or the Comptroller of the Currency in the case of National Association banks.</w:t>
      </w:r>
    </w:p>
    <w:p>
      <w:pPr>
        <w:spacing w:before="0" w:after="0"/>
        <w:ind w:left="356"/>
        <w:jc w:val="both"/>
      </w:pPr>
      <w:r>
        <w:rPr>
          <w:rFonts w:ascii="Times New Roman" w:hAnsi="Times New Roman"/>
          <w:b w:val="false"/>
          <w:i/>
          <w:color w:val="000000"/>
          <w:sz w:val="22"/>
        </w:rPr>
        <w:t>Section 18. Interpretation.</w:t>
      </w:r>
      <w:r>
        <w:rPr>
          <w:rFonts w:ascii="Times New Roman" w:hAnsi="Times New Roman"/>
          <w:b w:val="false"/>
          <w:i w:val="false"/>
          <w:color w:val="000000"/>
          <w:sz w:val="22"/>
        </w:rPr>
        <w:t xml:space="preserve"> As used in this Agreement, words in the singular include the plural and words in the plural include the singular. The descriptive headings for each section of the Agreement shall not affect the interpretation or the legal efficacy of this Agreement.</w:t>
      </w:r>
    </w:p>
    <w:p>
      <w:pPr>
        <w:spacing w:before="0" w:after="0"/>
        <w:ind w:left="356"/>
        <w:jc w:val="both"/>
      </w:pPr>
      <w:r>
        <w:rPr>
          <w:rFonts w:ascii="Times New Roman" w:hAnsi="Times New Roman"/>
          <w:b w:val="false"/>
          <w:i w:val="false"/>
          <w:color w:val="000000"/>
          <w:sz w:val="22"/>
        </w:rPr>
        <w:t xml:space="preserve">In Witness whereof the parties have caused this Agreement to be executed by their respective officers duly authorized and their corporate seals (if applicable) to be hereunto affixed and attested as of the date first above written. The parties below certify that the wording of this Agreement is identical to the wording specified in </w:t>
      </w:r>
      <w:hyperlink r:id="rId109">
        <w:r>
          <w:rPr>
            <w:rStyle w:val="Hyperlink"/>
            <w:rFonts w:ascii="Times New Roman" w:hAnsi="Times New Roman"/>
            <w:b w:val="false"/>
            <w:i w:val="false"/>
            <w:color w:val="000000"/>
            <w:sz w:val="22"/>
          </w:rPr>
          <w:t>567—subrule 136.12(2)</w:t>
        </w:r>
      </w:hyperlink>
      <w:r>
        <w:rPr>
          <w:rFonts w:ascii="Times New Roman" w:hAnsi="Times New Roman"/>
          <w:b w:val="false"/>
          <w:i w:val="false"/>
          <w:color w:val="000000"/>
          <w:sz w:val="22"/>
        </w:rPr>
        <w:t xml:space="preserve"> “TRUST AGREEMENT” as such regulations were constituted on the date written above.</w:t>
      </w:r>
    </w:p>
    <w:p>
      <w:pPr>
        <w:spacing w:before="0" w:after="0"/>
        <w:ind w:left="356"/>
        <w:jc w:val="both"/>
      </w:pPr>
      <w:r>
        <w:rPr>
          <w:rFonts w:ascii="Times New Roman" w:hAnsi="Times New Roman"/>
          <w:b w:val="false"/>
          <w:i w:val="false"/>
          <w:color w:val="000000"/>
          <w:sz w:val="22"/>
        </w:rPr>
        <w:t>[Signature of Grantor]</w:t>
      </w:r>
    </w:p>
    <w:p>
      <w:pPr>
        <w:spacing w:before="0" w:after="0"/>
        <w:ind w:left="356"/>
        <w:jc w:val="both"/>
      </w:pPr>
      <w:r>
        <w:rPr>
          <w:rFonts w:ascii="Times New Roman" w:hAnsi="Times New Roman"/>
          <w:b w:val="false"/>
          <w:i w:val="false"/>
          <w:color w:val="000000"/>
          <w:sz w:val="22"/>
        </w:rPr>
        <w:t>[Name of the Grantor]</w:t>
      </w:r>
    </w:p>
    <w:p>
      <w:pPr>
        <w:spacing w:before="0" w:after="0"/>
        <w:ind w:left="356"/>
        <w:jc w:val="both"/>
      </w:pPr>
      <w:r>
        <w:rPr>
          <w:rFonts w:ascii="Times New Roman" w:hAnsi="Times New Roman"/>
          <w:b w:val="false"/>
          <w:i w:val="false"/>
          <w:color w:val="000000"/>
          <w:sz w:val="22"/>
        </w:rPr>
        <w:t>[Title]</w:t>
      </w:r>
    </w:p>
    <w:p>
      <w:pPr>
        <w:spacing w:before="0" w:after="0"/>
        <w:ind w:left="356"/>
        <w:jc w:val="both"/>
      </w:pPr>
      <w:r>
        <w:rPr>
          <w:rFonts w:ascii="Times New Roman" w:hAnsi="Times New Roman"/>
          <w:b w:val="false"/>
          <w:i w:val="false"/>
          <w:color w:val="000000"/>
          <w:sz w:val="22"/>
        </w:rPr>
        <w:t>Attest:</w:t>
      </w:r>
    </w:p>
    <w:p>
      <w:pPr>
        <w:spacing w:before="0" w:after="0"/>
        <w:ind w:left="356"/>
        <w:jc w:val="both"/>
      </w:pPr>
      <w:r>
        <w:rPr>
          <w:rFonts w:ascii="Times New Roman" w:hAnsi="Times New Roman"/>
          <w:b w:val="false"/>
          <w:i w:val="false"/>
          <w:color w:val="000000"/>
          <w:sz w:val="22"/>
        </w:rPr>
        <w:t>[Signature of Trustee]</w:t>
      </w:r>
    </w:p>
    <w:p>
      <w:pPr>
        <w:spacing w:before="0" w:after="0"/>
        <w:ind w:left="356"/>
        <w:jc w:val="both"/>
      </w:pPr>
      <w:r>
        <w:rPr>
          <w:rFonts w:ascii="Times New Roman" w:hAnsi="Times New Roman"/>
          <w:b w:val="false"/>
          <w:i w:val="false"/>
          <w:color w:val="000000"/>
          <w:sz w:val="22"/>
        </w:rPr>
        <w:t>[Name of the Trustee]</w:t>
      </w:r>
    </w:p>
    <w:p>
      <w:pPr>
        <w:spacing w:before="0" w:after="0"/>
        <w:ind w:left="356"/>
        <w:jc w:val="both"/>
      </w:pPr>
      <w:r>
        <w:rPr>
          <w:rFonts w:ascii="Times New Roman" w:hAnsi="Times New Roman"/>
          <w:b w:val="false"/>
          <w:i w:val="false"/>
          <w:color w:val="000000"/>
          <w:sz w:val="22"/>
        </w:rPr>
        <w:t>[Title]</w:t>
      </w:r>
    </w:p>
    <w:p>
      <w:pPr>
        <w:spacing w:before="0" w:after="0"/>
        <w:ind w:left="356"/>
        <w:jc w:val="both"/>
      </w:pPr>
      <w:r>
        <w:rPr>
          <w:rFonts w:ascii="Times New Roman" w:hAnsi="Times New Roman"/>
          <w:b w:val="false"/>
          <w:i w:val="false"/>
          <w:color w:val="000000"/>
          <w:sz w:val="22"/>
        </w:rPr>
        <w:t>[Seal]</w:t>
      </w:r>
    </w:p>
    <w:p>
      <w:pPr>
        <w:spacing w:before="0" w:after="0"/>
        <w:ind w:left="356"/>
        <w:jc w:val="both"/>
      </w:pPr>
      <w:r>
        <w:rPr>
          <w:rFonts w:ascii="Times New Roman" w:hAnsi="Times New Roman"/>
          <w:b w:val="false"/>
          <w:i w:val="false"/>
          <w:color w:val="000000"/>
          <w:sz w:val="22"/>
        </w:rPr>
        <w:t>Attest:</w:t>
      </w:r>
    </w:p>
    <w:p>
      <w:pPr>
        <w:spacing w:before="0" w:after="0"/>
        <w:ind w:left="356"/>
        <w:jc w:val="both"/>
      </w:pPr>
      <w:r>
        <w:rPr>
          <w:rFonts w:ascii="Times New Roman" w:hAnsi="Times New Roman"/>
          <w:b w:val="false"/>
          <w:i w:val="false"/>
          <w:color w:val="000000"/>
          <w:sz w:val="22"/>
        </w:rPr>
        <w:t>[Signature of Witness]</w:t>
      </w:r>
    </w:p>
    <w:p>
      <w:pPr>
        <w:spacing w:before="0" w:after="0"/>
        <w:ind w:left="356"/>
        <w:jc w:val="both"/>
      </w:pPr>
      <w:r>
        <w:rPr>
          <w:rFonts w:ascii="Times New Roman" w:hAnsi="Times New Roman"/>
          <w:b w:val="false"/>
          <w:i w:val="false"/>
          <w:color w:val="000000"/>
          <w:sz w:val="22"/>
        </w:rPr>
        <w:t>[Name of Witness]</w:t>
      </w:r>
    </w:p>
    <w:p>
      <w:pPr>
        <w:spacing w:before="0" w:after="0"/>
        <w:ind w:left="356"/>
        <w:jc w:val="both"/>
      </w:pPr>
      <w:r>
        <w:rPr>
          <w:rFonts w:ascii="Times New Roman" w:hAnsi="Times New Roman"/>
          <w:b w:val="false"/>
          <w:i w:val="false"/>
          <w:color w:val="000000"/>
          <w:sz w:val="22"/>
        </w:rPr>
        <w:t>[Title]</w:t>
      </w:r>
    </w:p>
    <w:p>
      <w:pPr>
        <w:spacing w:before="0" w:after="0"/>
        <w:ind w:left="356"/>
        <w:jc w:val="both"/>
      </w:pPr>
      <w:r>
        <w:rPr>
          <w:rFonts w:ascii="Times New Roman" w:hAnsi="Times New Roman"/>
          <w:b w:val="false"/>
          <w:i w:val="false"/>
          <w:color w:val="000000"/>
          <w:sz w:val="22"/>
        </w:rPr>
        <w:t>[Seal]</w:t>
      </w:r>
    </w:p>
    <w:p>
      <w:pPr>
        <w:spacing w:before="0" w:after="0"/>
        <w:ind w:left="356"/>
        <w:jc w:val="both"/>
      </w:pPr>
      <w:r>
        <w:rPr>
          <w:rFonts w:ascii="Times New Roman" w:hAnsi="Times New Roman"/>
          <w:b w:val="false"/>
          <w:i w:val="false"/>
          <w:color w:val="000000"/>
          <w:sz w:val="22"/>
        </w:rPr>
        <w:t>The standby trust agreement must be accompanied by a formal certification of acknowledgment similar to the following.</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p>
    <w:p>
      <w:pPr>
        <w:spacing w:before="0" w:after="0"/>
        <w:ind w:left="2120"/>
        <w:jc w:val="both"/>
      </w:pPr>
      <w:r>
        <w:rPr>
          <w:rFonts w:ascii="Times New Roman" w:hAnsi="Times New Roman"/>
          <w:b w:val="false"/>
          <w:i w:val="false"/>
          <w:color w:val="000000"/>
          <w:sz w:val="22"/>
        </w:rPr>
        <w:t xml:space="preserve">State of </w:t>
      </w:r>
    </w:p>
    <w:p>
      <w:pPr>
        <w:spacing w:before="0" w:after="0"/>
        <w:ind w:left="120"/>
        <w:jc w:val="both"/>
      </w:pPr>
      <w:r>
        <w:rPr>
          <w:rFonts w:ascii="Times New Roman" w:hAnsi="Times New Roman"/>
          <w:b w:val="false"/>
          <w:i w:val="false"/>
          <w:color w:val="000000"/>
          <w:sz w:val="22"/>
        </w:rPr>
        <w:t> </w:t>
      </w:r>
    </w:p>
    <w:p>
      <w:pPr>
        <w:spacing w:before="0" w:after="0"/>
        <w:ind w:left="2120"/>
        <w:jc w:val="both"/>
      </w:pPr>
      <w:r>
        <w:rPr>
          <w:rFonts w:ascii="Times New Roman" w:hAnsi="Times New Roman"/>
          <w:b w:val="false"/>
          <w:i w:val="false"/>
          <w:color w:val="000000"/>
          <w:sz w:val="22"/>
        </w:rPr>
        <w:t xml:space="preserve">County of </w:t>
      </w:r>
    </w:p>
    <w:p>
      <w:pPr>
        <w:spacing w:before="0" w:after="0"/>
        <w:ind w:left="120"/>
        <w:jc w:val="both"/>
      </w:pPr>
      <w:r>
        <w:rPr>
          <w:rFonts w:ascii="Times New Roman" w:hAnsi="Times New Roman"/>
          <w:b w:val="false"/>
          <w:i w:val="false"/>
          <w:color w:val="000000"/>
          <w:sz w:val="22"/>
        </w:rPr>
        <w:t> </w:t>
      </w:r>
    </w:p>
    <w:p>
      <w:pPr>
        <w:spacing w:before="0" w:after="0"/>
        <w:ind w:left="356"/>
        <w:jc w:val="both"/>
      </w:pPr>
      <w:r>
        <w:rPr>
          <w:rFonts w:ascii="Times New Roman" w:hAnsi="Times New Roman"/>
          <w:b w:val="false"/>
          <w:i w:val="false"/>
          <w:color w:val="000000"/>
          <w:sz w:val="22"/>
        </w:rPr>
        <w:t xml:space="preserve">On this [date], before me personally came [owner or operator] to me known, who, being by me duly sworn, did depose and say that she/he resides at [address], that she/he is [title] of [corporation], the corporation described in and which executed the above instrument; that she/he knows the seal of said corporation; that the seal affixed to such instrument is such corporate seal; that it was so affixed by order of the Board of Directors of said corporation; and that she/he signed her/his name thereto by like order. </w:t>
      </w:r>
    </w:p>
    <w:p>
      <w:pPr>
        <w:spacing w:before="0" w:after="0"/>
        <w:ind w:left="356"/>
        <w:jc w:val="both"/>
      </w:pPr>
      <w:r>
        <w:rPr>
          <w:rFonts w:ascii="Times New Roman" w:hAnsi="Times New Roman"/>
          <w:b w:val="false"/>
          <w:i w:val="false"/>
          <w:color w:val="000000"/>
          <w:sz w:val="22"/>
        </w:rPr>
        <w:t>[Signature of Notary Public]</w:t>
      </w:r>
    </w:p>
    <w:p>
      <w:pPr>
        <w:spacing w:before="0" w:after="0"/>
        <w:ind w:left="356"/>
        <w:jc w:val="both"/>
      </w:pPr>
      <w:r>
        <w:rPr>
          <w:rFonts w:ascii="Times New Roman" w:hAnsi="Times New Roman"/>
          <w:b w:val="false"/>
          <w:i w:val="false"/>
          <w:color w:val="000000"/>
          <w:sz w:val="22"/>
        </w:rPr>
        <w:t>[Name of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136.12(3)</w:t>
      </w:r>
      <w:r>
        <w:rPr>
          <w:rFonts w:ascii="Times New Roman" w:hAnsi="Times New Roman"/>
          <w:b w:val="false"/>
          <w:i w:val="false"/>
          <w:color w:val="000000"/>
          <w:sz w:val="22"/>
        </w:rPr>
        <w:t> </w:t>
      </w:r>
      <w:r>
        <w:rPr>
          <w:rFonts w:ascii="Times New Roman" w:hAnsi="Times New Roman"/>
          <w:b w:val="false"/>
          <w:i w:val="false"/>
          <w:color w:val="000000"/>
          <w:sz w:val="22"/>
        </w:rPr>
        <w:t>The director of the Iowa department of natural resources instructs the trustee to refund the balance of the standby trust fund to the provider of financial assurance if the director determines that no additional corrective action costs of third-party liability claims will occur as a result of a release covered by the financial assurance mechanism for which the standby trust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136.12(4)</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establish one trust fund as the depository mechanism for all funds assured in compliance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567—136.13</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government bond rating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136.13(1)</w:t>
      </w:r>
      <w:r>
        <w:rPr>
          <w:rFonts w:ascii="Times New Roman" w:hAnsi="Times New Roman"/>
          <w:b w:val="false"/>
          <w:i w:val="false"/>
          <w:color w:val="000000"/>
          <w:sz w:val="22"/>
        </w:rPr>
        <w:t> </w:t>
      </w:r>
      <w:r>
        <w:rPr>
          <w:rFonts w:ascii="Times New Roman" w:hAnsi="Times New Roman"/>
          <w:b w:val="false"/>
          <w:i w:val="false"/>
          <w:color w:val="000000"/>
          <w:sz w:val="22"/>
        </w:rPr>
        <w:t>A general purpose local government owner or operator and/or local government serving as a guarantor may satisfy the requirements of rule 567—</w:t>
      </w:r>
      <w:hyperlink r:id="rId110">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having a currently outstanding issue or issues of general obligation bonds of $1 million or more, excluding refunded obligations, with a Moody’s rating of Aaa, Aa, A, or Baa, or a Standard &amp; Poor’s rating of AAA, AA, A, or BBB. Where a local government has multiple outstanding issues, or where a local government’s bonds are rated by both Moody’s and Standard &amp; Poor’s, the lower rating must be used to determine eligibility. Bonds that are backed by credit enhancement other than municipal bond insurance may not be considered in determining the amount of applicable bonds outstanding.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136.13(2)</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or local government serving as a guarantor that is not a general purpose local government and does not have the legal authority to issue general obligation bonds may satisfy the requirements of rule 567—</w:t>
      </w:r>
      <w:hyperlink r:id="rId111">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having a currently outstanding issue or issues of revenue bonds of $1 million or more, excluding refunded issues, and having a Moody’s rating of Aaa, Aa, A, or Baa, or a Standard &amp; Poor’s rating of AAA, AA, A, or BBB as the lowest rating for any rated revenue bond issued by the local government. Where bonds are rated by both Moody’s and Standard &amp; Poor’s, the lower rating for each bond must be used to determine eligibility. Bonds that are backed by credit enhancement may not be considered in determining the amount of applicable bonds outstanding.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136.13(3)</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and/or guarantor must maintain a copy of its bond rating published within the last 12 months by Moody’s or Standard &amp; Poor’s.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136.13(4)</w:t>
      </w:r>
      <w:r>
        <w:rPr>
          <w:rFonts w:ascii="Times New Roman" w:hAnsi="Times New Roman"/>
          <w:b w:val="false"/>
          <w:i w:val="false"/>
          <w:color w:val="000000"/>
          <w:sz w:val="22"/>
        </w:rPr>
        <w:t> </w:t>
      </w:r>
      <w:r>
        <w:rPr>
          <w:rFonts w:ascii="Times New Roman" w:hAnsi="Times New Roman"/>
          <w:b w:val="false"/>
          <w:i w:val="false"/>
          <w:color w:val="000000"/>
          <w:sz w:val="22"/>
        </w:rPr>
        <w:t>To demonstrate that it meets the local government bond rating test, the chief financial officer of a general purpose local government owner or operator and/or guarantor must sign a letter worded exactly as follows, except that the instructions in brackets are to be replaced by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Letter from Chief Financial Officer</w:t>
      </w:r>
    </w:p>
    <w:p>
      <w:pPr>
        <w:spacing w:before="0" w:after="0"/>
        <w:ind w:left="120"/>
        <w:jc w:val="both"/>
      </w:pPr>
      <w:r>
        <w:rPr>
          <w:rFonts w:ascii="Times New Roman" w:hAnsi="Times New Roman"/>
          <w:b w:val="false"/>
          <w:i w:val="false"/>
          <w:color w:val="000000"/>
          <w:sz w:val="22"/>
        </w:rPr>
        <w:t>I am the chief financial officer of [insert: name and address of local government owner or operator, or guarantor]. This letter is in support of the use of the bond rating test to demonstrate financial responsibility for [insert: “taking corrective action” and/or “compensating third parties for bodily injury and property damage”] caused by [insert: “sudden accidental releases” or “nonsudden accidental releases” or “accidental releases”] in the amount of at least [insert: dollar amount] per occurrence and [insert: dollar amount] annual aggregate arising from operating (an) underground storage tank(s).</w:t>
      </w:r>
    </w:p>
    <w:p>
      <w:pPr>
        <w:spacing w:before="0" w:after="0"/>
        <w:ind w:left="120"/>
        <w:jc w:val="both"/>
      </w:pPr>
      <w:r>
        <w:rPr>
          <w:rFonts w:ascii="Times New Roman" w:hAnsi="Times New Roman"/>
          <w:b w:val="false"/>
          <w:i w:val="false"/>
          <w:color w:val="000000"/>
          <w:sz w:val="22"/>
        </w:rPr>
        <w:t>Underground storage tanks at the following facilities are assured by this bond rating test: [List for each facility: the name and address of the facility where tanks are assured by the bond rating test].</w:t>
      </w:r>
    </w:p>
    <w:p>
      <w:pPr>
        <w:spacing w:before="0" w:after="0"/>
        <w:ind w:left="120"/>
        <w:jc w:val="both"/>
      </w:pPr>
      <w:r>
        <w:rPr>
          <w:rFonts w:ascii="Times New Roman" w:hAnsi="Times New Roman"/>
          <w:b w:val="false"/>
          <w:i w:val="false"/>
          <w:color w:val="000000"/>
          <w:sz w:val="22"/>
        </w:rPr>
        <w:t>The details of the issue date, maturity, outstanding amount, bond rating, and bond rating agency of all outstanding bond issues that are being used by [name of local government owner or operator, or guarantor] to demonstrate financial responsibility are as follows: [complete table]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321"/>
        <w:gridCol w:w="2293"/>
        <w:gridCol w:w="2293"/>
        <w:gridCol w:w="2293"/>
        <w:gridCol w:w="2320"/>
      </w:tblGrid>
      <w:tr>
        <w:trPr>
          <w:trHeight w:val="240" w:hRule="atLeast"/>
        </w:trPr>
        <w:tc>
          <w:tcPr>
            <w:tcW w:w="23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Issue Date</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Maturity Date</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Outstanding Amount</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Bond Rating</w:t>
            </w:r>
          </w:p>
        </w:tc>
        <w:tc>
          <w:tcPr>
            <w:tcW w:w="23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Rating Agency</w:t>
            </w:r>
          </w:p>
        </w:tc>
      </w:tr>
      <w:tr>
        <w:trPr>
          <w:trHeight w:val="435" w:hRule="atLeast"/>
        </w:trPr>
        <w:tc>
          <w:tcPr>
            <w:tcW w:w="23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20" w:type="dxa"/>
            <w:tcBorders/>
            <w:tcMar>
              <w:top w:w="30" w:type="dxa"/>
              <w:left w:w="30" w:type="dxa"/>
              <w:bottom w:w="15" w:type="dxa"/>
              <w:right w:w="30" w:type="dxa"/>
            </w:tcMar>
            <w:vAlign w:val="top"/>
          </w:tcPr>
          <w:p>
            <w:pPr>
              <w:spacing w:before="0" w:after="0"/>
              <w:ind w:left="364"/>
              <w:jc w:val="left"/>
            </w:pPr>
            <w:r>
              <w:rPr>
                <w:rFonts w:ascii="Times New Roman" w:hAnsi="Times New Roman"/>
                <w:b w:val="false"/>
                <w:i w:val="false"/>
                <w:color w:val="000000"/>
                <w:sz w:val="18"/>
              </w:rPr>
              <w:t>[Moody’s or Standard &amp; Poor’s]</w:t>
            </w:r>
          </w:p>
        </w:tc>
      </w:tr>
    </w:tbl>
    <w:p>
      <w:pPr>
        <w:spacing w:before="0" w:after="0"/>
        <w:ind w:left="120"/>
        <w:jc w:val="both"/>
      </w:pPr>
      <w:r>
        <w:rPr>
          <w:rFonts w:ascii="Times New Roman" w:hAnsi="Times New Roman"/>
          <w:b w:val="false"/>
          <w:i w:val="false"/>
          <w:color w:val="000000"/>
          <w:sz w:val="22"/>
        </w:rPr>
        <w:t>The total outstanding obligation of [insert amount], excluding refunded bond issues, exceeds the minimum amount of $1 million. All outstanding general obligation bonds issued by this government that have been rated by Moody’s or Standard &amp; Poor’s are rated as at least investment grade (Moody’s Baa or Standard &amp; Poor’s BBB) based on the most recent ratings published within the last 12 months. Neither rating service has provided notification within the last 12 months of downgrading of bond ratings below investment grade or of withdrawal of bond rating other than for repayment of outstanding bond issues.</w:t>
      </w:r>
    </w:p>
    <w:p>
      <w:pPr>
        <w:spacing w:before="0" w:after="0"/>
        <w:ind w:left="120"/>
        <w:jc w:val="both"/>
      </w:pPr>
      <w:r>
        <w:rPr>
          <w:rFonts w:ascii="Times New Roman" w:hAnsi="Times New Roman"/>
          <w:b w:val="false"/>
          <w:i w:val="false"/>
          <w:color w:val="000000"/>
          <w:sz w:val="22"/>
        </w:rPr>
        <w:t xml:space="preserve">I hereby certify that the wording of this letter is identical to the wording specified in </w:t>
      </w:r>
      <w:hyperlink r:id="rId112">
        <w:r>
          <w:rPr>
            <w:rStyle w:val="Hyperlink"/>
            <w:rFonts w:ascii="Times New Roman" w:hAnsi="Times New Roman"/>
            <w:b w:val="false"/>
            <w:i w:val="false"/>
            <w:color w:val="000000"/>
            <w:sz w:val="22"/>
          </w:rPr>
          <w:t>567—subrule 136.13(4)</w:t>
        </w:r>
      </w:hyperlink>
      <w:r>
        <w:rPr>
          <w:rFonts w:ascii="Times New Roman" w:hAnsi="Times New Roman"/>
          <w:b w:val="false"/>
          <w:i w:val="false"/>
          <w:color w:val="000000"/>
          <w:sz w:val="22"/>
        </w:rPr>
        <w:t xml:space="preserve"> of the Iowa Administrative Code on the date shown immediately below.</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[Title]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136.13(5)</w:t>
      </w:r>
      <w:r>
        <w:rPr>
          <w:rFonts w:ascii="Times New Roman" w:hAnsi="Times New Roman"/>
          <w:b w:val="false"/>
          <w:i w:val="false"/>
          <w:color w:val="000000"/>
          <w:sz w:val="22"/>
        </w:rPr>
        <w:t> </w:t>
      </w:r>
      <w:r>
        <w:rPr>
          <w:rFonts w:ascii="Times New Roman" w:hAnsi="Times New Roman"/>
          <w:b w:val="false"/>
          <w:i w:val="false"/>
          <w:color w:val="000000"/>
          <w:sz w:val="22"/>
        </w:rPr>
        <w:t>To demonstrate that it meets the local government bond rating test, the chief financial officer or local government owner or operator and/or guarantor other than a general purpose government must sign a letter worded exactly as follows, except that the instructions in brackets are to be replaced by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Letter from Chief Financial Officer</w:t>
      </w:r>
    </w:p>
    <w:p>
      <w:pPr>
        <w:spacing w:before="0" w:after="0"/>
        <w:ind w:left="120"/>
        <w:jc w:val="both"/>
      </w:pPr>
      <w:r>
        <w:rPr>
          <w:rFonts w:ascii="Times New Roman" w:hAnsi="Times New Roman"/>
          <w:b w:val="false"/>
          <w:i w:val="false"/>
          <w:color w:val="000000"/>
          <w:sz w:val="22"/>
        </w:rPr>
        <w:t>I am the chief financial officer of [insert: name and address of local government owner or operator, or guarantor]. This letter is in support of the use of the bond rating test to demonstrate financial responsibility for [insert: “taking corrective action” and/or “compensating third parties for bodily injury and property damage”] caused by [insert: “sudden accidental releases” or “nonsudden accidental releases” or “accidental releases”] in the amount of at least [insert: dollar amount] per occurrence and [insert: dollar amount] annual aggregate arising from operating (an) underground storage tank(s). This local government is not organized to provide general governmental services and does not have the legal authority under state law or constitutional provisions to issue general obligation debt.</w:t>
      </w:r>
    </w:p>
    <w:p>
      <w:pPr>
        <w:spacing w:before="0" w:after="0"/>
        <w:ind w:left="120"/>
        <w:jc w:val="both"/>
      </w:pPr>
      <w:r>
        <w:rPr>
          <w:rFonts w:ascii="Times New Roman" w:hAnsi="Times New Roman"/>
          <w:b w:val="false"/>
          <w:i w:val="false"/>
          <w:color w:val="000000"/>
          <w:sz w:val="22"/>
        </w:rPr>
        <w:t>Underground storage tanks at the following facilities are assured by this bond rating test: [List for each facility: the name and address of the facility where tanks are assured by the bond rating test].</w:t>
      </w:r>
    </w:p>
    <w:p>
      <w:pPr>
        <w:spacing w:before="0" w:after="0"/>
        <w:ind w:left="120"/>
        <w:jc w:val="both"/>
      </w:pPr>
      <w:r>
        <w:rPr>
          <w:rFonts w:ascii="Times New Roman" w:hAnsi="Times New Roman"/>
          <w:b w:val="false"/>
          <w:i w:val="false"/>
          <w:color w:val="000000"/>
          <w:sz w:val="22"/>
        </w:rPr>
        <w:t>The details of the issue date, maturity, outstanding amount, bond rating, and bond rating agency of all outstanding revenue bond issues that are being used by [name of local government owner or operator, or guarantor] to demonstrate financial responsibility are as follows: [complete table]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321"/>
        <w:gridCol w:w="2293"/>
        <w:gridCol w:w="2293"/>
        <w:gridCol w:w="2293"/>
        <w:gridCol w:w="2320"/>
      </w:tblGrid>
      <w:tr>
        <w:trPr>
          <w:trHeight w:val="240" w:hRule="atLeast"/>
        </w:trPr>
        <w:tc>
          <w:tcPr>
            <w:tcW w:w="23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Issue Date</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Maturity Date</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Outstanding Amount</w:t>
            </w:r>
          </w:p>
        </w:tc>
        <w:tc>
          <w:tcPr>
            <w:tcW w:w="22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Bond Rating</w:t>
            </w:r>
          </w:p>
        </w:tc>
        <w:tc>
          <w:tcPr>
            <w:tcW w:w="23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Rating Agency</w:t>
            </w:r>
          </w:p>
        </w:tc>
      </w:tr>
      <w:tr>
        <w:trPr>
          <w:trHeight w:val="435" w:hRule="atLeast"/>
        </w:trPr>
        <w:tc>
          <w:tcPr>
            <w:tcW w:w="23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20" w:type="dxa"/>
            <w:tcBorders/>
            <w:tcMar>
              <w:top w:w="30" w:type="dxa"/>
              <w:left w:w="30" w:type="dxa"/>
              <w:bottom w:w="15" w:type="dxa"/>
              <w:right w:w="30" w:type="dxa"/>
            </w:tcMar>
            <w:vAlign w:val="top"/>
          </w:tcPr>
          <w:p>
            <w:pPr>
              <w:spacing w:before="0" w:after="0"/>
              <w:ind w:left="364"/>
              <w:jc w:val="left"/>
            </w:pPr>
            <w:r>
              <w:rPr>
                <w:rFonts w:ascii="Times New Roman" w:hAnsi="Times New Roman"/>
                <w:b w:val="false"/>
                <w:i w:val="false"/>
                <w:color w:val="000000"/>
                <w:sz w:val="18"/>
              </w:rPr>
              <w:t>[Moody’s or Standard &amp; Poor’s]</w:t>
            </w:r>
          </w:p>
        </w:tc>
      </w:tr>
    </w:tbl>
    <w:p>
      <w:pPr>
        <w:spacing w:before="0" w:after="0"/>
        <w:ind w:left="120"/>
        <w:jc w:val="both"/>
      </w:pPr>
      <w:r>
        <w:rPr>
          <w:rFonts w:ascii="Times New Roman" w:hAnsi="Times New Roman"/>
          <w:b w:val="false"/>
          <w:i w:val="false"/>
          <w:color w:val="000000"/>
          <w:sz w:val="22"/>
        </w:rPr>
        <w:t>The total outstanding obligation of [insert amount], excluding refunded bond issues, exceeds the minimum amount of $1 million. All outstanding revenue bonds issued by this government that have been rated by Moody’s or Standard &amp; Poor’s are rated as at least investment grade (Moody’s Baa or Standard &amp; Poor’s BBB) based on the most recent ratings published within the last 12 months. The revenue bonds listed are not backed by third-party credit enhancement or are insured by a municipal bond insurance company. Neither rating service has provided notification within the last 12 months of downgrading of bond ratings below investment grade or of withdrawal of bond rating other than for repayment of outstanding bond issues.</w:t>
      </w:r>
    </w:p>
    <w:p>
      <w:pPr>
        <w:spacing w:before="0" w:after="0"/>
        <w:ind w:left="120"/>
        <w:jc w:val="both"/>
      </w:pPr>
      <w:r>
        <w:rPr>
          <w:rFonts w:ascii="Times New Roman" w:hAnsi="Times New Roman"/>
          <w:b w:val="false"/>
          <w:i w:val="false"/>
          <w:color w:val="000000"/>
          <w:sz w:val="22"/>
        </w:rPr>
        <w:t xml:space="preserve">I hereby certify that the wording of this letter is identical to the wording specified in </w:t>
      </w:r>
      <w:hyperlink r:id="rId113">
        <w:r>
          <w:rPr>
            <w:rStyle w:val="Hyperlink"/>
            <w:rFonts w:ascii="Times New Roman" w:hAnsi="Times New Roman"/>
            <w:b w:val="false"/>
            <w:i w:val="false"/>
            <w:color w:val="000000"/>
            <w:sz w:val="22"/>
          </w:rPr>
          <w:t>567—subrule 136.13(5)</w:t>
        </w:r>
      </w:hyperlink>
      <w:r>
        <w:rPr>
          <w:rFonts w:ascii="Times New Roman" w:hAnsi="Times New Roman"/>
          <w:b w:val="false"/>
          <w:i w:val="false"/>
          <w:color w:val="000000"/>
          <w:sz w:val="22"/>
        </w:rPr>
        <w:t xml:space="preserve"> of the Iowa Administrative Code on the date shown immediately below.</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[Title]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136.13(6)</w:t>
      </w:r>
      <w:r>
        <w:rPr>
          <w:rFonts w:ascii="Times New Roman" w:hAnsi="Times New Roman"/>
          <w:b w:val="false"/>
          <w:i w:val="false"/>
          <w:color w:val="000000"/>
          <w:sz w:val="22"/>
        </w:rPr>
        <w:t> </w:t>
      </w:r>
      <w:r>
        <w:rPr>
          <w:rFonts w:ascii="Times New Roman" w:hAnsi="Times New Roman"/>
          <w:b w:val="false"/>
          <w:i w:val="false"/>
          <w:color w:val="000000"/>
          <w:sz w:val="22"/>
        </w:rPr>
        <w:t>The director of the Iowa department of natural resources may require reports of financial condition at any time from the local government owner or operator, and/or local government guarantor. If the director finds, on the basis of such reports or other information, that the local government owner or operator, and/or guarantor, no longer meets the local government bond rating test requirements of this rule, the local government owner or operator must obtain alternative coverage within 30 days after notification of such a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136.13(7)</w:t>
      </w:r>
      <w:r>
        <w:rPr>
          <w:rFonts w:ascii="Times New Roman" w:hAnsi="Times New Roman"/>
          <w:b w:val="false"/>
          <w:i w:val="false"/>
          <w:color w:val="000000"/>
          <w:sz w:val="22"/>
        </w:rPr>
        <w:t> </w:t>
      </w:r>
      <w:r>
        <w:rPr>
          <w:rFonts w:ascii="Times New Roman" w:hAnsi="Times New Roman"/>
          <w:b w:val="false"/>
          <w:i w:val="false"/>
          <w:color w:val="000000"/>
          <w:sz w:val="22"/>
        </w:rPr>
        <w:t>If a local government owner or operator using the bond rating test to provide financial assurance finds that it no longer meets the bond rating test requirements, the local government owner or operator must obtain alternative coverage within 150 days of the change in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136.13(8)</w:t>
      </w:r>
      <w:r>
        <w:rPr>
          <w:rFonts w:ascii="Times New Roman" w:hAnsi="Times New Roman"/>
          <w:b w:val="false"/>
          <w:i w:val="false"/>
          <w:color w:val="000000"/>
          <w:sz w:val="22"/>
        </w:rPr>
        <w:t> </w:t>
      </w:r>
      <w:r>
        <w:rPr>
          <w:rFonts w:ascii="Times New Roman" w:hAnsi="Times New Roman"/>
          <w:b w:val="false"/>
          <w:i w:val="false"/>
          <w:color w:val="000000"/>
          <w:sz w:val="22"/>
        </w:rPr>
        <w:t>If the local government owner or operator fails to obtain alternate assurance within 150 days of finding that it no longer meets the requirements of the bond rating test or within 30 days of notification by the director of the department that it no longer meets the requirements of the bond rating test, the owner or operator must notify the director of such failure within 10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567—136.14</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government financial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136.14(1)</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may satisfy the requirements of rule 567—</w:t>
      </w:r>
      <w:hyperlink r:id="rId114">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passing the financial test specified therein. To be eligible to use the financial test, the local government owner or operator must have the ability and authority to assess and levy taxes or to freely establish fees and charges.</w:t>
      </w:r>
    </w:p>
    <w:p>
      <w:pPr>
        <w:spacing w:before="0" w:after="0"/>
        <w:ind w:left="120"/>
        <w:jc w:val="both"/>
      </w:pPr>
      <w:r>
        <w:rPr>
          <w:rFonts w:ascii="Times New Roman" w:hAnsi="Times New Roman"/>
          <w:b w:val="false"/>
          <w:i w:val="false"/>
          <w:color w:val="000000"/>
          <w:sz w:val="22"/>
        </w:rPr>
        <w:t xml:space="preserve">To pass the local government financial test, the owner or operator must meet the criteria of subrules </w:t>
      </w:r>
      <w:hyperlink r:id="rId115">
        <w:r>
          <w:rPr>
            <w:rStyle w:val="Hyperlink"/>
            <w:rFonts w:ascii="Times New Roman" w:hAnsi="Times New Roman"/>
            <w:b w:val="false"/>
            <w:i w:val="false"/>
            <w:color w:val="000000"/>
            <w:sz w:val="22"/>
          </w:rPr>
          <w:t>136.14(3)</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136.14(4)</w:t>
        </w:r>
      </w:hyperlink>
      <w:r>
        <w:rPr>
          <w:rFonts w:ascii="Times New Roman" w:hAnsi="Times New Roman"/>
          <w:b w:val="false"/>
          <w:i w:val="false"/>
          <w:color w:val="000000"/>
          <w:sz w:val="22"/>
        </w:rPr>
        <w:t xml:space="preserve"> based on year-end financial statements for the latest completed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136.14(2)</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have the following information available, as shown in the year-end financial statements for the latest completed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Total revenues. </w:t>
      </w:r>
      <w:r>
        <w:rPr>
          <w:rFonts w:ascii="Times New Roman" w:hAnsi="Times New Roman"/>
          <w:b w:val="false"/>
          <w:i w:val="false"/>
          <w:color w:val="000000"/>
          <w:sz w:val="22"/>
        </w:rPr>
        <w:t>Total revenues consist of the sum of general fund operating and nonoperating revenues including net local taxes, licenses and permits, fines and forfeitures, revenues from use of money and property, charges for services, investment earnings, sales (property, publications, etc.), intergovernmental revenues (restricted and unrestricted), and total revenues from all other governmental funds including enterprise, debt service, capital projects, and special revenues, but excluding revenues to funds held in a trust or agency capacity. For purposes of this test, the calculation of total revenues shall exclude all transfers between funds under the direct control of the local government using the financial test (interfund transfers), liquidation of investments, and issuance of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Total expenditures. </w:t>
      </w:r>
      <w:r>
        <w:rPr>
          <w:rFonts w:ascii="Times New Roman" w:hAnsi="Times New Roman"/>
          <w:b w:val="false"/>
          <w:i w:val="false"/>
          <w:color w:val="000000"/>
          <w:sz w:val="22"/>
        </w:rPr>
        <w:t>Total expenditures consist of the sum of general fund operating and nonoperating expenditures including public safety, public utilities, transportation, public works, environmental protection, cultural and recreational, community development, revenue sharing, employee benefits and compensation, office management, planning and zoning, capital projects, interest payments on debt, payments for retirement of debt principal, and total expenditures from all other governmental funds including enterprise, debt service, capital projects, and special revenues. For purposes of this test, the calculation of total expenditures shall exclude all transfers between funds under the direct control of the local government using the financial test (interfund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revenues. </w:t>
      </w:r>
      <w:r>
        <w:rPr>
          <w:rFonts w:ascii="Times New Roman" w:hAnsi="Times New Roman"/>
          <w:b w:val="false"/>
          <w:i w:val="false"/>
          <w:color w:val="000000"/>
          <w:sz w:val="22"/>
        </w:rPr>
        <w:t xml:space="preserve">Local revenues consist of total revenues, as defined in paragraph </w:t>
      </w:r>
      <w:hyperlink r:id="rId117">
        <w:r>
          <w:rPr>
            <w:rStyle w:val="Hyperlink"/>
            <w:rFonts w:ascii="Times New Roman" w:hAnsi="Times New Roman"/>
            <w:b w:val="false"/>
            <w:i w:val="false"/>
            <w:color w:val="000000"/>
            <w:sz w:val="22"/>
          </w:rPr>
          <w:t>136.14(2)</w:t>
        </w:r>
      </w:hyperlink>
      <w:r>
        <w:rPr>
          <w:rFonts w:ascii="Times New Roman" w:hAnsi="Times New Roman"/>
          <w:b w:val="false"/>
          <w:i/>
          <w:color w:val="000000"/>
          <w:sz w:val="22"/>
        </w:rPr>
        <w:t>“a,”</w:t>
      </w:r>
      <w:r>
        <w:rPr>
          <w:rFonts w:ascii="Times New Roman" w:hAnsi="Times New Roman"/>
          <w:b w:val="false"/>
          <w:i w:val="false"/>
          <w:color w:val="000000"/>
          <w:sz w:val="22"/>
        </w:rPr>
        <w:t xml:space="preserve"> minus the sum of all transfers from other governmental entities, including all moneys received from federal, state, or local government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Debt service. </w:t>
      </w:r>
      <w:r>
        <w:rPr>
          <w:rFonts w:ascii="Times New Roman" w:hAnsi="Times New Roman"/>
          <w:b w:val="false"/>
          <w:i w:val="false"/>
          <w:color w:val="000000"/>
          <w:sz w:val="22"/>
        </w:rPr>
        <w:t>Debt service consists of the sum of all interest and principal payments on all long-term credit obligations and all interest-bearing short-term credit obligations; includes interest and principal payments on general obligation bonds, revenue bonds, notes, mortgages, judgments, and interest-bearing warrants; and excludes payments on noninterest-bearing short-term obligations, interfund obligations, amounts owed in a trust or agency capacity, and advances and contingent loans from other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Total funds. </w:t>
      </w:r>
      <w:r>
        <w:rPr>
          <w:rFonts w:ascii="Times New Roman" w:hAnsi="Times New Roman"/>
          <w:b w:val="false"/>
          <w:i w:val="false"/>
          <w:color w:val="000000"/>
          <w:sz w:val="22"/>
        </w:rPr>
        <w:t>Total funds consist of the sum of cash and investment securities from all funds, including general, enterprise, debt service, capital projects, and special revenue funds, but excluding employee retirement funds, at the end of the local government’s financial reporting year. Total funds include federal securities, federal agency securities, state and local government securities, and other securities such as bonds, notes and mortgages. For purposes of this test, the calculation of total funds shall exclude agency funds, private trust funds, accounts receivable, value of real property, and other nonsecurity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Population. </w:t>
      </w:r>
      <w:r>
        <w:rPr>
          <w:rFonts w:ascii="Times New Roman" w:hAnsi="Times New Roman"/>
          <w:b w:val="false"/>
          <w:i w:val="false"/>
          <w:color w:val="000000"/>
          <w:sz w:val="22"/>
        </w:rPr>
        <w:t>Population consists of the number of people in the area served by the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136.14(3)</w:t>
      </w:r>
      <w:r>
        <w:rPr>
          <w:rFonts w:ascii="Times New Roman" w:hAnsi="Times New Roman"/>
          <w:b w:val="false"/>
          <w:i w:val="false"/>
          <w:color w:val="000000"/>
          <w:sz w:val="22"/>
        </w:rPr>
        <w:t> </w:t>
      </w:r>
      <w:r>
        <w:rPr>
          <w:rFonts w:ascii="Times New Roman" w:hAnsi="Times New Roman"/>
          <w:b w:val="false"/>
          <w:i w:val="false"/>
          <w:color w:val="000000"/>
          <w:sz w:val="22"/>
        </w:rPr>
        <w:t>The local government’s year-end financial statements, if independently audited, cannot include an adverse auditor’s opinion or a disclaimer of opinion. The local government cannot have outstanding issues of general obligation or revenue bonds that are rated as less than investment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must have a letter signed by the chief financial officer worded as specified in subrule </w:t>
      </w:r>
      <w:hyperlink r:id="rId118">
        <w:r>
          <w:rPr>
            <w:rStyle w:val="Hyperlink"/>
            <w:rFonts w:ascii="Times New Roman" w:hAnsi="Times New Roman"/>
            <w:b w:val="false"/>
            <w:i w:val="false"/>
            <w:color w:val="000000"/>
            <w:sz w:val="22"/>
          </w:rPr>
          <w:t>136.14(5)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136.14(5)</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that it meets the financial test under subrules </w:t>
      </w:r>
      <w:hyperlink r:id="rId119">
        <w:r>
          <w:rPr>
            <w:rStyle w:val="Hyperlink"/>
            <w:rFonts w:ascii="Times New Roman" w:hAnsi="Times New Roman"/>
            <w:b w:val="false"/>
            <w:i w:val="false"/>
            <w:color w:val="000000"/>
            <w:sz w:val="22"/>
          </w:rPr>
          <w:t>136.14(2)</w:t>
        </w:r>
      </w:hyperlink>
      <w:r>
        <w:rPr>
          <w:rFonts w:ascii="Times New Roman" w:hAnsi="Times New Roman"/>
          <w:b w:val="false"/>
          <w:i w:val="false"/>
          <w:color w:val="000000"/>
          <w:sz w:val="22"/>
        </w:rPr>
        <w:t xml:space="preserve"> to </w:t>
      </w:r>
      <w:hyperlink r:id="rId120">
        <w:r>
          <w:rPr>
            <w:rStyle w:val="Hyperlink"/>
            <w:rFonts w:ascii="Times New Roman" w:hAnsi="Times New Roman"/>
            <w:b w:val="false"/>
            <w:i w:val="false"/>
            <w:color w:val="000000"/>
            <w:sz w:val="22"/>
          </w:rPr>
          <w:t>136.14(4)</w:t>
        </w:r>
      </w:hyperlink>
      <w:r>
        <w:rPr>
          <w:rFonts w:ascii="Times New Roman" w:hAnsi="Times New Roman"/>
          <w:b w:val="false"/>
          <w:i w:val="false"/>
          <w:color w:val="000000"/>
          <w:sz w:val="22"/>
        </w:rPr>
        <w:t>, the chief financial officer of the local government owner or operator must sign, within 120 days of the close of each financial reporting year, as defined by the 12-month period for which financial statements used to support the financial test are prepared, a letter worded exactly as follows, except that the instructions in brackets are to be replaced by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Letter from Chief Financial Officer</w:t>
      </w:r>
    </w:p>
    <w:p>
      <w:pPr>
        <w:spacing w:before="0" w:after="0"/>
        <w:ind w:left="120"/>
        <w:jc w:val="both"/>
      </w:pPr>
      <w:r>
        <w:rPr>
          <w:rFonts w:ascii="Times New Roman" w:hAnsi="Times New Roman"/>
          <w:b w:val="false"/>
          <w:i w:val="false"/>
          <w:color w:val="000000"/>
          <w:sz w:val="22"/>
        </w:rPr>
        <w:t>I am the chief financial officer of [insert: name and address of the owner or operator]. This letter is in support of the use of the local government financial test to demonstrate financial responsibility for [insert: “taking corrective action” and/or “compensating third parties for bodily injury and property damage”] caused by [insert: “sudden accidental releases” or “nonsudden accidental releases” or “accidental releases”] in the amount of at least [insert: dollar amount] per occurrence and [insert: dollar amount] annual aggregate arising from operating (an) underground storage tank(s).</w:t>
      </w:r>
    </w:p>
    <w:p>
      <w:pPr>
        <w:spacing w:before="0" w:after="0"/>
        <w:ind w:left="120"/>
        <w:jc w:val="both"/>
      </w:pPr>
      <w:r>
        <w:rPr>
          <w:rFonts w:ascii="Times New Roman" w:hAnsi="Times New Roman"/>
          <w:b w:val="false"/>
          <w:i w:val="false"/>
          <w:color w:val="000000"/>
          <w:sz w:val="22"/>
        </w:rPr>
        <w:t xml:space="preserve">Underground storage tanks at the following facilities are assured by this financial test [List for each facility: the name and address of the facility where tanks assured by this financial test are located. If separate mechanisms or combinations of mechanisms are being used to assure any of the tanks at this facility, list each tank assured by this financial test by the tank identification number provided in the notification submitted pursuant to </w:t>
      </w:r>
      <w:hyperlink r:id="rId121">
        <w:r>
          <w:rPr>
            <w:rStyle w:val="Hyperlink"/>
            <w:rFonts w:ascii="Times New Roman" w:hAnsi="Times New Roman"/>
            <w:b w:val="false"/>
            <w:i w:val="false"/>
            <w:color w:val="000000"/>
            <w:sz w:val="22"/>
          </w:rPr>
          <w:t>567—135.3</w:t>
        </w:r>
      </w:hyperlink>
      <w:r>
        <w:rPr>
          <w:rFonts w:ascii="Times New Roman" w:hAnsi="Times New Roman"/>
          <w:b w:val="false"/>
          <w:i w:val="false"/>
          <w:color w:val="000000"/>
          <w:sz w:val="22"/>
        </w:rPr>
        <w:t>(455B) of the Iowa Administrative Code.]</w:t>
      </w:r>
    </w:p>
    <w:p>
      <w:pPr>
        <w:spacing w:before="0" w:after="0"/>
        <w:ind w:left="120"/>
        <w:jc w:val="both"/>
      </w:pPr>
      <w:r>
        <w:rPr>
          <w:rFonts w:ascii="Times New Roman" w:hAnsi="Times New Roman"/>
          <w:b w:val="false"/>
          <w:i w:val="false"/>
          <w:color w:val="000000"/>
          <w:sz w:val="22"/>
        </w:rPr>
        <w:t>This owner or operator has not received an adverse opinion, or a disclaimer of opinion from an independent auditor on its financial statements for the latest completed fiscal year. Any outstanding issues of general obligation or revenue bonds, if rated, have a Moody’s rating of Aaa, Aa, A, or Baa or a Standard &amp; Poor’s rating of AAA, AA, A, or BBB; if rated by both firms, the bonds have a Moody’s rating of Aaa, Aa, A, or Baa and a Standard &amp; Poor’s rating of AAA, AA, A, or BBB.</w:t>
      </w:r>
    </w:p>
    <w:tbl>
      <w:tblPr>
        <w:tblW w:w="5000" w:type="pct"/>
        <w:tblCellSpacing w:w="0" w:type="auto"/>
        <w:tblBorders>
          <w:top w:val="none"/>
          <w:left w:val="none"/>
          <w:bottom w:val="none"/>
          <w:right w:val="none"/>
          <w:insideH w:val="none"/>
          <w:insideV w:val="none"/>
        </w:tblBorders>
        <w:tblLayout w:type="fixed"/>
      </w:tblPr>
      <w:tblGrid>
        <w:gridCol w:w="840"/>
        <w:gridCol w:w="743"/>
        <w:gridCol w:w="7002"/>
        <w:gridCol w:w="2605"/>
      </w:tblGrid>
      <w:tr>
        <w:trPr>
          <w:trHeight w:val="210"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WORKSHEET FOR MUNICIPAL FINANCIAL TEST</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 I: BASIC INFORMATION</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Revenues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39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Value of revenues excludes liquidation of investments and </w:t>
            </w:r>
          </w:p>
          <w:p>
            <w:pPr>
              <w:spacing w:before="0" w:after="0"/>
              <w:ind w:left="160"/>
              <w:jc w:val="left"/>
            </w:pPr>
            <w:r>
              <w:rPr>
                <w:rFonts w:ascii="Times New Roman" w:hAnsi="Times New Roman"/>
                <w:b w:val="false"/>
                <w:i w:val="false"/>
                <w:color w:val="000000"/>
                <w:sz w:val="16"/>
              </w:rPr>
              <w:t>issuance of debt.</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 includes all general fund operating and nonoperating revenues, as well as all revenues from all other governmental funds including enterprise, debt service, capital projects, and special revenues, but excluding revenues to funds held in a trust or agency capacity.</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interfund transfers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Expenditures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Expenditures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75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 consists of the sum of general fund operating and nonoperating expenditures including interest payments on debt, payments for retirement of debt principal, and total expenditures from all other governmental funds including enterprise, debt service, capital projects, and special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interfund transfers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expenditures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total intergovernmental transfers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Local Revenues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 Service</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and fiscal charges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debt retirement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Debt Service (dollars)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Funds (dollars)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 of amounts held as cash and investment securities from all funds, excluding amounts held for employee retirement funds, agency funds, and trust funds)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(persons)</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 II: APPLICATION OF TEST</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to Population</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(from 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7a by 7b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417</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5,212</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4.095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Expenses to Population</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Expenditures (from 2c)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(from 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8a by 8b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524</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5,401</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4.095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Local Revenues to Total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Local Revenues (from 3c)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9a by 9b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.695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.205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2.840</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 Service to Population</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 Service (from 4c)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(from 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10a by 10b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51</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1,038</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- 1.866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 Service to Total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 Service (from 4c)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11a by 11b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.068</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.259</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- 3.533</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to Total Expenses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Expenditures (from 2c)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12a by 12b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.910</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.899</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3.458</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Funds Balance to Total Revenues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Funds (from 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Revenues (from 1c)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13a by 13b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.891</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9.156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3.270</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Funds Balance to Total Expenses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Funds (from 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Expenditures (from 2c)</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14a by 14b</w:t>
            </w:r>
          </w:p>
        </w:tc>
        <w:tc>
          <w:tcPr>
            <w:tcW w:w="2605" w:type="dxa"/>
            <w:tcBorders/>
            <w:tcMar>
              <w:top w:w="30" w:type="dxa"/>
              <w:left w:w="30" w:type="dxa"/>
              <w:bottom w:w="15" w:type="dxa"/>
              <w:right w:w="30" w:type="dxa"/>
            </w:tcMar>
            <w:vAlign w:val="top"/>
          </w:tcPr>
          <w:p>
            <w:pPr>
              <w:spacing w:before="0" w:after="0"/>
              <w:ind w:left="160"/>
              <w:jc w:val="left"/>
            </w:pPr>
          </w:p>
        </w:tc>
      </w:tr>
      <w:tr>
        <w:trPr>
          <w:trHeight w:val="27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.866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6.409</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3.270</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Funds to Population</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Funds (from 5)</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(from 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15a by 15b</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d.</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Subtract 270</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 by 4,548</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f.</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Multiply by 1.866</w:t>
            </w:r>
          </w:p>
        </w:tc>
        <w:tc>
          <w:tcPr>
            <w:tcW w:w="2605" w:type="dxa"/>
            <w:tcBorders/>
            <w:tcMar>
              <w:top w:w="30" w:type="dxa"/>
              <w:left w:w="30" w:type="dxa"/>
              <w:bottom w:w="15" w:type="dxa"/>
              <w:right w:w="30" w:type="dxa"/>
            </w:tcMar>
            <w:vAlign w:val="top"/>
          </w:tcPr>
          <w:p>
            <w:pPr>
              <w:spacing w:before="0" w:after="0"/>
              <w:ind w:left="160"/>
              <w:jc w:val="left"/>
            </w:pPr>
          </w:p>
        </w:tc>
      </w:tr>
      <w:tr>
        <w:trPr>
          <w:trHeight w:val="210" w:hRule="atLeast"/>
        </w:trPr>
        <w:tc>
          <w:tcPr>
            <w:tcW w:w="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7f + 8f + 9f + 10f + 11f + 12f + 13f + 14f + 15f + 4.937</w:t>
            </w:r>
          </w:p>
        </w:tc>
        <w:tc>
          <w:tcPr>
            <w:tcW w:w="2605" w:type="dxa"/>
            <w:tcBorders/>
            <w:tcMar>
              <w:top w:w="30" w:type="dxa"/>
              <w:left w:w="30" w:type="dxa"/>
              <w:bottom w:w="15" w:type="dxa"/>
              <w:right w:w="30" w:type="dxa"/>
            </w:tcMar>
            <w:vAlign w:val="top"/>
          </w:tcPr>
          <w:p>
            <w:pPr>
              <w:spacing w:before="0" w:after="0"/>
              <w:ind w:left="160"/>
              <w:jc w:val="left"/>
            </w:pPr>
          </w:p>
        </w:tc>
      </w:tr>
    </w:tbl>
    <w:p>
      <w:pPr>
        <w:spacing w:before="0" w:after="0"/>
        <w:ind w:left="120"/>
        <w:jc w:val="both"/>
      </w:pPr>
      <w:r>
        <w:rPr>
          <w:rFonts w:ascii="Times New Roman" w:hAnsi="Times New Roman"/>
          <w:b w:val="false"/>
          <w:i w:val="false"/>
          <w:color w:val="000000"/>
          <w:sz w:val="22"/>
        </w:rPr>
        <w:t xml:space="preserve">I hereby certify that the financial index shown on line 16 of the worksheet is greater than zero and that the wording of this letter is identical to the wording specified in </w:t>
      </w:r>
      <w:hyperlink r:id="rId122">
        <w:r>
          <w:rPr>
            <w:rStyle w:val="Hyperlink"/>
            <w:rFonts w:ascii="Times New Roman" w:hAnsi="Times New Roman"/>
            <w:b w:val="false"/>
            <w:i w:val="false"/>
            <w:color w:val="000000"/>
            <w:sz w:val="22"/>
          </w:rPr>
          <w:t>567—subrule 136.14(5)</w:t>
        </w:r>
      </w:hyperlink>
      <w:r>
        <w:rPr>
          <w:rFonts w:ascii="Times New Roman" w:hAnsi="Times New Roman"/>
          <w:b w:val="false"/>
          <w:i w:val="false"/>
          <w:color w:val="000000"/>
          <w:sz w:val="22"/>
        </w:rPr>
        <w:t xml:space="preserve"> of the Iowa Administrative Code on the date shown immediately below.</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[Title]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136.14(6)</w:t>
      </w:r>
      <w:r>
        <w:rPr>
          <w:rFonts w:ascii="Times New Roman" w:hAnsi="Times New Roman"/>
          <w:b w:val="false"/>
          <w:i w:val="false"/>
          <w:color w:val="000000"/>
          <w:sz w:val="22"/>
        </w:rPr>
        <w:t> </w:t>
      </w:r>
      <w:r>
        <w:rPr>
          <w:rFonts w:ascii="Times New Roman" w:hAnsi="Times New Roman"/>
          <w:b w:val="false"/>
          <w:i w:val="false"/>
          <w:color w:val="000000"/>
          <w:sz w:val="22"/>
        </w:rPr>
        <w:t>If a local government owner or operator using the test to provide financial assurance finds that it no longer meets the requirements of the financial test based on the year-end financial statements, the owner or operator must obtain alternative coverage within 150 days of the end of the year for which financial statements have been prepared.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Iowa department of natural resources may require reports of financial condition at any time from the local government owner or operator. If the director finds, on the basis of such reports or other information, that the local government owner or operator no longer meets the financial test requirements of subrules </w:t>
      </w:r>
      <w:hyperlink r:id="rId123">
        <w:r>
          <w:rPr>
            <w:rStyle w:val="Hyperlink"/>
            <w:rFonts w:ascii="Times New Roman" w:hAnsi="Times New Roman"/>
            <w:b w:val="false"/>
            <w:i w:val="false"/>
            <w:color w:val="000000"/>
            <w:sz w:val="22"/>
          </w:rPr>
          <w:t>136.13(2)</w:t>
        </w:r>
      </w:hyperlink>
      <w:r>
        <w:rPr>
          <w:rFonts w:ascii="Times New Roman" w:hAnsi="Times New Roman"/>
          <w:b w:val="false"/>
          <w:i w:val="false"/>
          <w:color w:val="000000"/>
          <w:sz w:val="22"/>
        </w:rPr>
        <w:t xml:space="preserve"> to </w:t>
      </w:r>
      <w:hyperlink r:id="rId124">
        <w:r>
          <w:rPr>
            <w:rStyle w:val="Hyperlink"/>
            <w:rFonts w:ascii="Times New Roman" w:hAnsi="Times New Roman"/>
            <w:b w:val="false"/>
            <w:i w:val="false"/>
            <w:color w:val="000000"/>
            <w:sz w:val="22"/>
          </w:rPr>
          <w:t>136.13(5)</w:t>
        </w:r>
      </w:hyperlink>
      <w:r>
        <w:rPr>
          <w:rFonts w:ascii="Times New Roman" w:hAnsi="Times New Roman"/>
          <w:b w:val="false"/>
          <w:i w:val="false"/>
          <w:color w:val="000000"/>
          <w:sz w:val="22"/>
        </w:rPr>
        <w:t>, the owner or operator must obtain alternate coverage within 30 days after notification of such a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136.14(8)</w:t>
      </w:r>
      <w:r>
        <w:rPr>
          <w:rFonts w:ascii="Times New Roman" w:hAnsi="Times New Roman"/>
          <w:b w:val="false"/>
          <w:i w:val="false"/>
          <w:color w:val="000000"/>
          <w:sz w:val="22"/>
        </w:rPr>
        <w:t> </w:t>
      </w:r>
      <w:r>
        <w:rPr>
          <w:rFonts w:ascii="Times New Roman" w:hAnsi="Times New Roman"/>
          <w:b w:val="false"/>
          <w:i w:val="false"/>
          <w:color w:val="000000"/>
          <w:sz w:val="22"/>
        </w:rPr>
        <w:t>If the local government owner or operator fails to obtain alternate assurance within 150 days of finding that it no longer meets the requirements of the financial test based on the year-end financial statements or within 30 days of notification by the director of the Iowa department of natural resources that it no longer meets the requirements of the financial test, the owner or operator must notify the director of such failure within 10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567—136.15</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government guarantee.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136.15(1)</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may satisfy the requirements of rule 567—</w:t>
      </w:r>
      <w:hyperlink r:id="rId125">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by obtaining a guarantee that conforms to the requirements of this rule. The guarantor must be either the state in which the local government owner or operator is located or a local government having a “substantial governmental relationship” with the owner and operator and issuing the guarantee as an act incident to that relationship. A local government acting as a guarantor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that it meets the bond rating test requirement of rule 567—</w:t>
      </w:r>
      <w:hyperlink r:id="rId126">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 xml:space="preserve">(455B) and deliver a copy of the chief financial officer’s letter as contained in subrule </w:t>
      </w:r>
      <w:hyperlink r:id="rId127">
        <w:r>
          <w:rPr>
            <w:rStyle w:val="Hyperlink"/>
            <w:rFonts w:ascii="Times New Roman" w:hAnsi="Times New Roman"/>
            <w:b w:val="false"/>
            <w:i w:val="false"/>
            <w:color w:val="000000"/>
            <w:sz w:val="22"/>
          </w:rPr>
          <w:t>136.13(4)</w:t>
        </w:r>
      </w:hyperlink>
      <w:r>
        <w:rPr>
          <w:rFonts w:ascii="Times New Roman" w:hAnsi="Times New Roman"/>
          <w:b w:val="false"/>
          <w:i w:val="false"/>
          <w:color w:val="000000"/>
          <w:sz w:val="22"/>
        </w:rPr>
        <w:t xml:space="preserve"> to the local government owner or operator;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that it meets the worksheet test requirements of rule 567—</w:t>
      </w:r>
      <w:hyperlink r:id="rId128">
        <w:r>
          <w:rPr>
            <w:rStyle w:val="Hyperlink"/>
            <w:rFonts w:ascii="Times New Roman" w:hAnsi="Times New Roman"/>
            <w:b w:val="false"/>
            <w:i w:val="false"/>
            <w:color w:val="000000"/>
            <w:sz w:val="22"/>
          </w:rPr>
          <w:t>136.14</w:t>
        </w:r>
      </w:hyperlink>
      <w:r>
        <w:rPr>
          <w:rFonts w:ascii="Times New Roman" w:hAnsi="Times New Roman"/>
          <w:b w:val="false"/>
          <w:i w:val="false"/>
          <w:color w:val="000000"/>
          <w:sz w:val="22"/>
        </w:rPr>
        <w:t xml:space="preserve">(455B) and deliver a copy of the chief financial officer’s letter as contained in subrule </w:t>
      </w:r>
      <w:hyperlink r:id="rId129">
        <w:r>
          <w:rPr>
            <w:rStyle w:val="Hyperlink"/>
            <w:rFonts w:ascii="Times New Roman" w:hAnsi="Times New Roman"/>
            <w:b w:val="false"/>
            <w:i w:val="false"/>
            <w:color w:val="000000"/>
            <w:sz w:val="22"/>
          </w:rPr>
          <w:t>136.14(5)</w:t>
        </w:r>
      </w:hyperlink>
      <w:r>
        <w:rPr>
          <w:rFonts w:ascii="Times New Roman" w:hAnsi="Times New Roman"/>
          <w:b w:val="false"/>
          <w:i w:val="false"/>
          <w:color w:val="000000"/>
          <w:sz w:val="22"/>
        </w:rPr>
        <w:t xml:space="preserve"> to the local government owner or operator;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that it meets the local government fund requirements of subrule </w:t>
      </w:r>
      <w:hyperlink r:id="rId130">
        <w:r>
          <w:rPr>
            <w:rStyle w:val="Hyperlink"/>
            <w:rFonts w:ascii="Times New Roman" w:hAnsi="Times New Roman"/>
            <w:b w:val="false"/>
            <w:i w:val="false"/>
            <w:color w:val="000000"/>
            <w:sz w:val="22"/>
          </w:rPr>
          <w:t>136.16(1)</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136.16(2)</w:t>
        </w:r>
      </w:hyperlink>
      <w:r>
        <w:rPr>
          <w:rFonts w:ascii="Times New Roman" w:hAnsi="Times New Roman"/>
          <w:b w:val="false"/>
          <w:i w:val="false"/>
          <w:color w:val="000000"/>
          <w:sz w:val="22"/>
        </w:rPr>
        <w:t xml:space="preserve">, or </w:t>
      </w:r>
      <w:hyperlink r:id="rId132">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and deliver a copy of the chief financial officer’s letter as contained in rule 567—</w:t>
      </w:r>
      <w:hyperlink r:id="rId133">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to the local government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136.15(2)</w:t>
      </w:r>
      <w:r>
        <w:rPr>
          <w:rFonts w:ascii="Times New Roman" w:hAnsi="Times New Roman"/>
          <w:b w:val="false"/>
          <w:i w:val="false"/>
          <w:color w:val="000000"/>
          <w:sz w:val="22"/>
        </w:rPr>
        <w:t> </w:t>
      </w:r>
      <w:r>
        <w:rPr>
          <w:rFonts w:ascii="Times New Roman" w:hAnsi="Times New Roman"/>
          <w:b w:val="false"/>
          <w:i w:val="false"/>
          <w:color w:val="000000"/>
          <w:sz w:val="22"/>
        </w:rPr>
        <w:t>If the local government guarantor is unable to demonstrate financial assurance under rule 567—</w:t>
      </w:r>
      <w:hyperlink r:id="rId134">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(455B) or 567—</w:t>
      </w:r>
      <w:hyperlink r:id="rId135">
        <w:r>
          <w:rPr>
            <w:rStyle w:val="Hyperlink"/>
            <w:rFonts w:ascii="Times New Roman" w:hAnsi="Times New Roman"/>
            <w:b w:val="false"/>
            <w:i w:val="false"/>
            <w:color w:val="000000"/>
            <w:sz w:val="22"/>
          </w:rPr>
          <w:t>136.14</w:t>
        </w:r>
      </w:hyperlink>
      <w:r>
        <w:rPr>
          <w:rFonts w:ascii="Times New Roman" w:hAnsi="Times New Roman"/>
          <w:b w:val="false"/>
          <w:i w:val="false"/>
          <w:color w:val="000000"/>
          <w:sz w:val="22"/>
        </w:rPr>
        <w:t xml:space="preserve">(455B) or subrule </w:t>
      </w:r>
      <w:hyperlink r:id="rId136">
        <w:r>
          <w:rPr>
            <w:rStyle w:val="Hyperlink"/>
            <w:rFonts w:ascii="Times New Roman" w:hAnsi="Times New Roman"/>
            <w:b w:val="false"/>
            <w:i w:val="false"/>
            <w:color w:val="000000"/>
            <w:sz w:val="22"/>
          </w:rPr>
          <w:t>136.16(1)</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136.16(2)</w:t>
        </w:r>
      </w:hyperlink>
      <w:r>
        <w:rPr>
          <w:rFonts w:ascii="Times New Roman" w:hAnsi="Times New Roman"/>
          <w:b w:val="false"/>
          <w:i w:val="false"/>
          <w:color w:val="000000"/>
          <w:sz w:val="22"/>
        </w:rPr>
        <w:t xml:space="preserve">, or </w:t>
      </w:r>
      <w:hyperlink r:id="rId138">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at the end of the financial reporting year, the guarantor shall send by certified mail, before cancellation or nonrenewal of the guarantee, notice to the owner or operator. The guarantee will terminate no less than 120 days after the date the owner or operator receives the notification, as evidenced by the return receipt. The owner or operator must obtain alternative coverage as specified in subrule </w:t>
      </w:r>
      <w:hyperlink r:id="rId139">
        <w:r>
          <w:rPr>
            <w:rStyle w:val="Hyperlink"/>
            <w:rFonts w:ascii="Times New Roman" w:hAnsi="Times New Roman"/>
            <w:b w:val="false"/>
            <w:i w:val="false"/>
            <w:color w:val="000000"/>
            <w:sz w:val="22"/>
          </w:rPr>
          <w:t>136.23(3)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guarantee agreement must be worded as specified in subrule </w:t>
      </w:r>
      <w:hyperlink r:id="rId140">
        <w:r>
          <w:rPr>
            <w:rStyle w:val="Hyperlink"/>
            <w:rFonts w:ascii="Times New Roman" w:hAnsi="Times New Roman"/>
            <w:b w:val="false"/>
            <w:i w:val="false"/>
            <w:color w:val="000000"/>
            <w:sz w:val="22"/>
          </w:rPr>
          <w:t>136.15(4)</w:t>
        </w:r>
      </w:hyperlink>
      <w:r>
        <w:rPr>
          <w:rFonts w:ascii="Times New Roman" w:hAnsi="Times New Roman"/>
          <w:b w:val="false"/>
          <w:i w:val="false"/>
          <w:color w:val="000000"/>
          <w:sz w:val="22"/>
        </w:rPr>
        <w:t xml:space="preserve"> or </w:t>
      </w:r>
      <w:hyperlink r:id="rId141">
        <w:r>
          <w:rPr>
            <w:rStyle w:val="Hyperlink"/>
            <w:rFonts w:ascii="Times New Roman" w:hAnsi="Times New Roman"/>
            <w:b w:val="false"/>
            <w:i w:val="false"/>
            <w:color w:val="000000"/>
            <w:sz w:val="22"/>
          </w:rPr>
          <w:t>136.15(5)</w:t>
        </w:r>
      </w:hyperlink>
      <w:r>
        <w:rPr>
          <w:rFonts w:ascii="Times New Roman" w:hAnsi="Times New Roman"/>
          <w:b w:val="false"/>
          <w:i w:val="false"/>
          <w:color w:val="000000"/>
          <w:sz w:val="22"/>
        </w:rPr>
        <w:t>, depending on which of the following alternative guarantee arrangements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default or incapacity of the owner or operator, the guarantor guarantees to fund a standby trust as directed by the director of the Iowa department of natural resources, the guarantee shall be worded as specified in </w:t>
      </w:r>
      <w:hyperlink r:id="rId142">
        <w:r>
          <w:rPr>
            <w:rStyle w:val="Hyperlink"/>
            <w:rFonts w:ascii="Times New Roman" w:hAnsi="Times New Roman"/>
            <w:b w:val="false"/>
            <w:i w:val="false"/>
            <w:color w:val="000000"/>
            <w:sz w:val="22"/>
          </w:rPr>
          <w:t>136.15(4)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default or incapacity of the owner or operator, the guarantor guarantees to make payments as directed by the director of the Iowa department of natural resources for taking corrective action or compensating third parties for bodily injury and property damage, the guarantee shall be worded as specified in subrule </w:t>
      </w:r>
      <w:hyperlink r:id="rId143">
        <w:r>
          <w:rPr>
            <w:rStyle w:val="Hyperlink"/>
            <w:rFonts w:ascii="Times New Roman" w:hAnsi="Times New Roman"/>
            <w:b w:val="false"/>
            <w:i w:val="false"/>
            <w:color w:val="000000"/>
            <w:sz w:val="22"/>
          </w:rPr>
          <w:t>136.15(5)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guarantor is a state, the local government guarantee with standby trust must be worded as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except that instructions in brackets are to be replaced with relevant information and the brackets deleted. If the guarantor is a local government, the local government guarantee with standby trust must be worded as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except that instructions in brackets are to be replaced with relevant information and the brackets deleted.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Government Guarantee With Standby Trust Made by a State Guarantee made this [date] by [name of state], herein referred to as guarantor, to Iowa department of natural resources and to any and all third parties, and obligees, on behalf of [local government owner or operator].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Recitals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Guarantor is a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owner or operator] owns or operates the following underground storage tank(s) covered by this guarantee: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14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of the Iowa Administrative Code (IAC), and the name and address of the facility.] This guarantee satisfies </w:t>
      </w:r>
      <w:hyperlink r:id="rId14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requirements for assuring funding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above-identified underground storage tank(s) in the amount of [insert dollar amount] per occurrence and [insert dollar amount] annual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Guarantor guarantees to Iowa department of natural resources and to any and all third parties that:</w:t>
      </w:r>
    </w:p>
    <w:p>
      <w:pPr>
        <w:spacing w:before="0" w:after="0"/>
        <w:ind w:left="120"/>
        <w:jc w:val="both"/>
      </w:pPr>
      <w:r>
        <w:rPr>
          <w:rFonts w:ascii="Times New Roman" w:hAnsi="Times New Roman"/>
          <w:b w:val="false"/>
          <w:i w:val="false"/>
          <w:color w:val="000000"/>
          <w:sz w:val="22"/>
        </w:rPr>
        <w:t xml:space="preserve">In the event that [local government owner or operator] fails to provide alternative coverage within 60 days after receipt of a notice of cancellation of this guarantee and the [director] of the Iowa department of natural resources has determined or suspects that a release has occurred at an underground storage tank covered by this guarantee, the guarantor, upon instructions from the director shall fund a standby trust fund in accordance with the provisions of </w:t>
      </w:r>
      <w:hyperlink r:id="rId146">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in an amount not to exceed the coverage limits specified above.</w:t>
      </w:r>
    </w:p>
    <w:p>
      <w:pPr>
        <w:spacing w:before="0" w:after="0"/>
        <w:ind w:left="120"/>
        <w:jc w:val="both"/>
      </w:pPr>
      <w:r>
        <w:rPr>
          <w:rFonts w:ascii="Times New Roman" w:hAnsi="Times New Roman"/>
          <w:b w:val="false"/>
          <w:i w:val="false"/>
          <w:color w:val="000000"/>
          <w:sz w:val="22"/>
        </w:rPr>
        <w:t xml:space="preserve">In the event that the [director] determines that [local government owner or operator] has failed to perform corrective action for releases arising out of the operation of the above-identified tank(s) in accordance with </w:t>
      </w:r>
      <w:hyperlink r:id="rId14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IAC, the guarantor upon written instructions from the director shall fund a standby trust fund in accordance with the provisions of </w:t>
      </w:r>
      <w:hyperlink r:id="rId148">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in an amount not to exceed the coverage limits specified above.</w:t>
      </w:r>
    </w:p>
    <w:p>
      <w:pPr>
        <w:spacing w:before="0" w:after="0"/>
        <w:ind w:left="120"/>
        <w:jc w:val="both"/>
      </w:pPr>
      <w:r>
        <w:rPr>
          <w:rFonts w:ascii="Times New Roman" w:hAnsi="Times New Roman"/>
          <w:b w:val="false"/>
          <w:i w:val="false"/>
          <w:color w:val="000000"/>
          <w:sz w:val="22"/>
        </w:rPr>
        <w:t xml:space="preserve">If [owner or operator] fails to satisfy a judgment or award based on a determination of liability for bodily injury or property damage to third parties caused by [“sudden” and/or “nonsudden”] accidental releases arising from the operation of the above-identified tank(s), or fails to pay an amount agreed to in settlement of a claim arising from or alleged to arise from such injury or damage, the guarantor, upon written instructions from the [director], shall fund a standby trust in accordance with the provisions of </w:t>
      </w:r>
      <w:hyperlink r:id="rId149">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to satisfy such judgment(s), award(s), or settlement agreement(s) up to the limits of coverage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Guarantor agrees to notify [owner or operator] by certified mail of a voluntary or involuntary proceeding under Title 11 (Bankruptcy), U.S. Code naming guarantor as debtor, within 10 days after commencement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notwithstanding any modification or alteration of any obligation of [owner or operator] pursuant to </w:t>
      </w:r>
      <w:hyperlink r:id="rId150">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t>
      </w:r>
      <w:hyperlink r:id="rId151">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for so long as [local government owner or operator] must comply with the applicable financial responsibility requirements of </w:t>
      </w:r>
      <w:hyperlink r:id="rId15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for the above-identified tank(s), except that guarantor may cancel this guarantee by sending notice by certified mail to [owner or operator], such cancellation to become effective no earlier than 120 days after receipt of such notice by [owner or operator],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guarantor’s obligation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of [local government owner or operator] under a workers’ compensation, disability benefits, or unemployment compensation law or other similar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Bodily injury to an employee of [insert: local government owner or operator] arising from, and in the course of, employment by [insert: local government owner or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Bodily injury or property damage arising from the ownership, maintenance, use, or entrustment to others of any aircraft, motor vehicle, or watercraft;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Property damage to any property owned, rented, loaned to, in the care, custody, or control of, or occupied by [insert: local government owner or operator] that is not the direct result of a release from a petroleum underground storage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Bodily damage or property damage for which [insert owner or operator] is obligated to pay damages by reason of the assumption of liability in a contract or agreement other than a contract or agreement entered into to meet the requirements of </w:t>
      </w:r>
      <w:hyperlink r:id="rId153">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(455B)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Guarantor expressly waives notice of acceptance of this guarantee by the Iowa department of natural resources, by any or all third parties, or by [local government owner or operator].</w:t>
      </w:r>
    </w:p>
    <w:p>
      <w:pPr>
        <w:spacing w:before="0" w:after="0"/>
        <w:ind w:left="120"/>
        <w:jc w:val="both"/>
      </w:pPr>
      <w:r>
        <w:rPr>
          <w:rFonts w:ascii="Times New Roman" w:hAnsi="Times New Roman"/>
          <w:b w:val="false"/>
          <w:i w:val="false"/>
          <w:color w:val="000000"/>
          <w:sz w:val="22"/>
        </w:rPr>
        <w:t xml:space="preserve">I hereby certify that the wording of this guarantee is identical to the wording specified in </w:t>
      </w:r>
      <w:hyperlink r:id="rId154">
        <w:r>
          <w:rPr>
            <w:rStyle w:val="Hyperlink"/>
            <w:rFonts w:ascii="Times New Roman" w:hAnsi="Times New Roman"/>
            <w:b w:val="false"/>
            <w:i w:val="false"/>
            <w:color w:val="000000"/>
            <w:sz w:val="22"/>
          </w:rPr>
          <w:t>567—subrule 136.14(4)</w:t>
        </w:r>
      </w:hyperlink>
      <w:r>
        <w:rPr>
          <w:rFonts w:ascii="Times New Roman" w:hAnsi="Times New Roman"/>
          <w:b w:val="false"/>
          <w:i w:val="false"/>
          <w:color w:val="000000"/>
          <w:sz w:val="22"/>
        </w:rPr>
        <w:t xml:space="preserve"> IAC on the effective date shown immediately below.</w:t>
      </w:r>
    </w:p>
    <w:p>
      <w:pPr>
        <w:spacing w:before="0" w:after="0"/>
        <w:ind w:left="120"/>
        <w:jc w:val="both"/>
      </w:pPr>
      <w:r>
        <w:rPr>
          <w:rFonts w:ascii="Times New Roman" w:hAnsi="Times New Roman"/>
          <w:b w:val="false"/>
          <w:i w:val="false"/>
          <w:color w:val="000000"/>
          <w:sz w:val="22"/>
        </w:rPr>
        <w:t>Effective date:</w:t>
      </w:r>
    </w:p>
    <w:p>
      <w:pPr>
        <w:spacing w:before="0" w:after="0"/>
        <w:ind w:left="120"/>
        <w:jc w:val="both"/>
      </w:pPr>
      <w:r>
        <w:rPr>
          <w:rFonts w:ascii="Times New Roman" w:hAnsi="Times New Roman"/>
          <w:b w:val="false"/>
          <w:i w:val="false"/>
          <w:color w:val="000000"/>
          <w:sz w:val="22"/>
        </w:rPr>
        <w:t>[Name of guarantor]</w:t>
      </w:r>
    </w:p>
    <w:p>
      <w:pPr>
        <w:spacing w:before="0" w:after="0"/>
        <w:ind w:left="120"/>
        <w:jc w:val="both"/>
      </w:pPr>
      <w:r>
        <w:rPr>
          <w:rFonts w:ascii="Times New Roman" w:hAnsi="Times New Roman"/>
          <w:b w:val="false"/>
          <w:i w:val="false"/>
          <w:color w:val="000000"/>
          <w:sz w:val="22"/>
        </w:rPr>
        <w:t>[Authorized signature for guarantor]</w:t>
      </w:r>
    </w:p>
    <w:p>
      <w:pPr>
        <w:spacing w:before="0" w:after="0"/>
        <w:ind w:left="120"/>
        <w:jc w:val="both"/>
      </w:pPr>
      <w:r>
        <w:rPr>
          <w:rFonts w:ascii="Times New Roman" w:hAnsi="Times New Roman"/>
          <w:b w:val="false"/>
          <w:i w:val="false"/>
          <w:color w:val="000000"/>
          <w:sz w:val="22"/>
        </w:rPr>
        <w:t>[Name of person signing]</w:t>
      </w:r>
    </w:p>
    <w:p>
      <w:pPr>
        <w:spacing w:before="0" w:after="0"/>
        <w:ind w:left="120"/>
        <w:jc w:val="both"/>
      </w:pPr>
      <w:r>
        <w:rPr>
          <w:rFonts w:ascii="Times New Roman" w:hAnsi="Times New Roman"/>
          <w:b w:val="false"/>
          <w:i w:val="false"/>
          <w:color w:val="000000"/>
          <w:sz w:val="22"/>
        </w:rPr>
        <w:t>[Title of person signing]</w:t>
      </w:r>
    </w:p>
    <w:p>
      <w:pPr>
        <w:spacing w:before="0" w:after="0"/>
        <w:ind w:left="120"/>
        <w:jc w:val="both"/>
      </w:pPr>
      <w:r>
        <w:rPr>
          <w:rFonts w:ascii="Times New Roman" w:hAnsi="Times New Roman"/>
          <w:b w:val="false"/>
          <w:i w:val="false"/>
          <w:color w:val="000000"/>
          <w:sz w:val="22"/>
        </w:rPr>
        <w:t>Signature of witness or notary: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Guarantee With Standby Trust Made by a Local Government Guarantee made this [date] by [name of guaranteeing entity], a local government organized under the laws of Iowa, herein referred to as guarantor, to the Iowa department of natural resources and to any and all third parties, and obligees, on behalf of [local government owner or operator].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Recitals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meets or exceeds [select one: the local government bond rating test requirements of </w:t>
      </w:r>
      <w:hyperlink r:id="rId155">
        <w:r>
          <w:rPr>
            <w:rStyle w:val="Hyperlink"/>
            <w:rFonts w:ascii="Times New Roman" w:hAnsi="Times New Roman"/>
            <w:b w:val="false"/>
            <w:i w:val="false"/>
            <w:color w:val="000000"/>
            <w:sz w:val="22"/>
          </w:rPr>
          <w:t>567—136.13(455B)</w:t>
        </w:r>
      </w:hyperlink>
      <w:r>
        <w:rPr>
          <w:rFonts w:ascii="Times New Roman" w:hAnsi="Times New Roman"/>
          <w:b w:val="false"/>
          <w:i w:val="false"/>
          <w:color w:val="000000"/>
          <w:sz w:val="22"/>
        </w:rPr>
        <w:t xml:space="preserve"> of the Iowa Administrative Code (IAC), the local government financial test requirements of </w:t>
      </w:r>
      <w:hyperlink r:id="rId156">
        <w:r>
          <w:rPr>
            <w:rStyle w:val="Hyperlink"/>
            <w:rFonts w:ascii="Times New Roman" w:hAnsi="Times New Roman"/>
            <w:b w:val="false"/>
            <w:i w:val="false"/>
            <w:color w:val="000000"/>
            <w:sz w:val="22"/>
          </w:rPr>
          <w:t>567—136.14(455B)</w:t>
        </w:r>
      </w:hyperlink>
      <w:r>
        <w:rPr>
          <w:rFonts w:ascii="Times New Roman" w:hAnsi="Times New Roman"/>
          <w:b w:val="false"/>
          <w:i w:val="false"/>
          <w:color w:val="000000"/>
          <w:sz w:val="22"/>
        </w:rPr>
        <w:t xml:space="preserve"> IAC, or the local government fund under </w:t>
      </w:r>
      <w:hyperlink r:id="rId157">
        <w:r>
          <w:rPr>
            <w:rStyle w:val="Hyperlink"/>
            <w:rFonts w:ascii="Times New Roman" w:hAnsi="Times New Roman"/>
            <w:b w:val="false"/>
            <w:i w:val="false"/>
            <w:color w:val="000000"/>
            <w:sz w:val="22"/>
          </w:rPr>
          <w:t>567—subrule 136.16(1)</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136.16(2)</w:t>
        </w:r>
      </w:hyperlink>
      <w:r>
        <w:rPr>
          <w:rFonts w:ascii="Times New Roman" w:hAnsi="Times New Roman"/>
          <w:b w:val="false"/>
          <w:i w:val="false"/>
          <w:color w:val="000000"/>
          <w:sz w:val="22"/>
        </w:rPr>
        <w:t xml:space="preserve">, or </w:t>
      </w:r>
      <w:hyperlink r:id="rId159">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owner or operator] owns or operates the following underground storage tank(s) covered by this guarantee: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160">
        <w:r>
          <w:rPr>
            <w:rStyle w:val="Hyperlink"/>
            <w:rFonts w:ascii="Times New Roman" w:hAnsi="Times New Roman"/>
            <w:b w:val="false"/>
            <w:i w:val="false"/>
            <w:color w:val="000000"/>
            <w:sz w:val="22"/>
          </w:rPr>
          <w:t>567—135.3</w:t>
        </w:r>
      </w:hyperlink>
      <w:r>
        <w:rPr>
          <w:rFonts w:ascii="Times New Roman" w:hAnsi="Times New Roman"/>
          <w:b w:val="false"/>
          <w:i w:val="false"/>
          <w:color w:val="000000"/>
          <w:sz w:val="22"/>
        </w:rPr>
        <w:t xml:space="preserve">(455B) IAC or the corresponding state requirement, and the name and address of the facility.] This guarantee satisfies </w:t>
      </w:r>
      <w:hyperlink r:id="rId16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requirements for assuring funding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above-identified underground storage tank(s) in the amount of [insert: dollar amount] per occurrence and [insert: dollar amount] annual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 to our substantial governmental relationship with [local government owner or operator], guarantor guarantees to the Iowa department of natural resources and to any and all third parties that:</w:t>
      </w:r>
    </w:p>
    <w:p>
      <w:pPr>
        <w:spacing w:before="0" w:after="0"/>
        <w:ind w:left="120"/>
        <w:jc w:val="both"/>
      </w:pPr>
      <w:r>
        <w:rPr>
          <w:rFonts w:ascii="Times New Roman" w:hAnsi="Times New Roman"/>
          <w:b w:val="false"/>
          <w:i w:val="false"/>
          <w:color w:val="000000"/>
          <w:sz w:val="22"/>
        </w:rPr>
        <w:t xml:space="preserve">In the event that [local government owner or operator] fails to provide alternative coverage within 60 days after receipt of a notice of cancellation of this guarantee and the director of the Iowa department of natural resources has determined or suspects that a release has occurred at an underground storage tank covered by this guarantee, the guarantor, upon instructions from the [director], shall fund a standby trust fund in accordance with the provisions of </w:t>
      </w:r>
      <w:hyperlink r:id="rId162">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in an amount not to exceed the coverage limits specified above.</w:t>
      </w:r>
    </w:p>
    <w:p>
      <w:pPr>
        <w:spacing w:before="0" w:after="0"/>
        <w:ind w:left="120"/>
        <w:jc w:val="both"/>
      </w:pPr>
      <w:r>
        <w:rPr>
          <w:rFonts w:ascii="Times New Roman" w:hAnsi="Times New Roman"/>
          <w:b w:val="false"/>
          <w:i w:val="false"/>
          <w:color w:val="000000"/>
          <w:sz w:val="22"/>
        </w:rPr>
        <w:t xml:space="preserve">In the event that the [director] determines that [local government owner or operator] has failed to perform corrective action for releases arising out of the operation of the above-identified tank(s) in accordance with </w:t>
      </w:r>
      <w:hyperlink r:id="rId16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IAC, the guarantor, upon written instructions from the [director], shall fund a standby trust fund in accordance with the provisions of </w:t>
      </w:r>
      <w:hyperlink r:id="rId164">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in an amount not to exceed the coverage limits specified above.</w:t>
      </w:r>
    </w:p>
    <w:p>
      <w:pPr>
        <w:spacing w:before="0" w:after="0"/>
        <w:ind w:left="120"/>
        <w:jc w:val="both"/>
      </w:pPr>
      <w:r>
        <w:rPr>
          <w:rFonts w:ascii="Times New Roman" w:hAnsi="Times New Roman"/>
          <w:b w:val="false"/>
          <w:i w:val="false"/>
          <w:color w:val="000000"/>
          <w:sz w:val="22"/>
        </w:rPr>
        <w:t xml:space="preserve">If [owner or operator] fails to satisfy a judgment or award based on a determination of liability for bodily injury or property damage to third parties caused by [“sudden” and/or “nonsudden”] accidental releases arising from the operation of the above-identified tank(s), or fails to pay an amount agreed to in settlement of a claim arising from or alleged to arise from such injury or damage, the guarantor, upon written instructions from the [director], shall fund a standby trust in accordance with the provisions of </w:t>
      </w:r>
      <w:hyperlink r:id="rId165">
        <w:r>
          <w:rPr>
            <w:rStyle w:val="Hyperlink"/>
            <w:rFonts w:ascii="Times New Roman" w:hAnsi="Times New Roman"/>
            <w:b w:val="false"/>
            <w:i w:val="false"/>
            <w:color w:val="000000"/>
            <w:sz w:val="22"/>
          </w:rPr>
          <w:t>567—136.21</w:t>
        </w:r>
      </w:hyperlink>
      <w:r>
        <w:rPr>
          <w:rFonts w:ascii="Times New Roman" w:hAnsi="Times New Roman"/>
          <w:b w:val="false"/>
          <w:i w:val="false"/>
          <w:color w:val="000000"/>
          <w:sz w:val="22"/>
        </w:rPr>
        <w:t>(455B) IAC to satisfy such judgment(s), award(s), or settlement agreement(s) up to the limits of coverage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Guarantor agrees that, if at the end of any fiscal year before cancellation of this guarantee, the guarantor fails to meet or exceed the requirements of the financial responsibility mechanism specified in paragraph (1), guarantor shall send within 120 days of such failure, by certified mail, notice to [local government owner or operator],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Guarantor agrees to notify [owner or operator] by certified mail of a voluntary or involuntary proceeding under Title 11 (Bankruptcy), U.S. Code, naming guarantor as debtor, within 10 days after commencement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notwithstanding any modification or alteration of any obligation of [owner or operator] pursuant to </w:t>
      </w:r>
      <w:hyperlink r:id="rId16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t>
      </w:r>
      <w:hyperlink r:id="rId167">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for so long as [local government owner or operator] must comply with the applicable financial responsibility requirements of </w:t>
      </w:r>
      <w:hyperlink r:id="rId16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for the above-identified tank(s), except that guarantor may cancel this guarantee by sending notice by certified mail to [owner or operator], such cancellation to become effective no earlier than 120 days after receipt of such notice by [owner or operator],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guarantor’s obligation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of [local government owner or operator] under a workers’ compensation, disability benefits, or unemployment compensation law or other similar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Bodily injury to an employee of [insert: local government owner or operator] arising from, and in the course of, employment by [insert: local government owner or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Bodily injury or property damage arising from the ownership, maintenance, use, or entrustment to others of any aircraft, motor vehicle, or watercraft;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Property damage to any property owned, rented, loaned to, in the care, custody, or control of, or occupied by [insert: local government owner or operator] that is not the direct result of a release from a petroleum underground storage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Bodily damage or property damage for which [insert: owner or operator] is obligated to pay damages by reason of the assumption of liability in a contract or agreement other than a contract or agreement entered into to meet the requirements of </w:t>
      </w:r>
      <w:hyperlink r:id="rId169">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(455B)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Guarantor expressly waives notice of acceptance of this guarantee by the Iowa department of natural resources, by any or all third parties, or by [local government owner or operator].</w:t>
      </w:r>
    </w:p>
    <w:p>
      <w:pPr>
        <w:spacing w:before="0" w:after="0"/>
        <w:ind w:left="120"/>
        <w:jc w:val="both"/>
      </w:pPr>
      <w:r>
        <w:rPr>
          <w:rFonts w:ascii="Times New Roman" w:hAnsi="Times New Roman"/>
          <w:b w:val="false"/>
          <w:i w:val="false"/>
          <w:color w:val="000000"/>
          <w:sz w:val="22"/>
        </w:rPr>
        <w:t xml:space="preserve">I hereby certify that the wording of this guarantee is identical to the wording specified in </w:t>
      </w:r>
      <w:hyperlink r:id="rId170">
        <w:r>
          <w:rPr>
            <w:rStyle w:val="Hyperlink"/>
            <w:rFonts w:ascii="Times New Roman" w:hAnsi="Times New Roman"/>
            <w:b w:val="false"/>
            <w:i w:val="false"/>
            <w:color w:val="000000"/>
            <w:sz w:val="22"/>
          </w:rPr>
          <w:t>567—subrule 136.15(4)</w:t>
        </w:r>
      </w:hyperlink>
      <w:r>
        <w:rPr>
          <w:rFonts w:ascii="Times New Roman" w:hAnsi="Times New Roman"/>
          <w:b w:val="false"/>
          <w:i w:val="false"/>
          <w:color w:val="000000"/>
          <w:sz w:val="22"/>
        </w:rPr>
        <w:t xml:space="preserve"> IAC on the effective date shown immediately below.</w:t>
      </w:r>
    </w:p>
    <w:p>
      <w:pPr>
        <w:spacing w:before="0" w:after="0"/>
        <w:ind w:left="120"/>
        <w:jc w:val="both"/>
      </w:pPr>
      <w:r>
        <w:rPr>
          <w:rFonts w:ascii="Times New Roman" w:hAnsi="Times New Roman"/>
          <w:b w:val="false"/>
          <w:i w:val="false"/>
          <w:color w:val="000000"/>
          <w:sz w:val="22"/>
        </w:rPr>
        <w:t>Effective date:</w:t>
      </w:r>
    </w:p>
    <w:p>
      <w:pPr>
        <w:spacing w:before="0" w:after="0"/>
        <w:ind w:left="120"/>
        <w:jc w:val="both"/>
      </w:pPr>
      <w:r>
        <w:rPr>
          <w:rFonts w:ascii="Times New Roman" w:hAnsi="Times New Roman"/>
          <w:b w:val="false"/>
          <w:i w:val="false"/>
          <w:color w:val="000000"/>
          <w:sz w:val="22"/>
        </w:rPr>
        <w:t>[Name of guarantor]</w:t>
      </w:r>
    </w:p>
    <w:p>
      <w:pPr>
        <w:spacing w:before="0" w:after="0"/>
        <w:ind w:left="120"/>
        <w:jc w:val="both"/>
      </w:pPr>
      <w:r>
        <w:rPr>
          <w:rFonts w:ascii="Times New Roman" w:hAnsi="Times New Roman"/>
          <w:b w:val="false"/>
          <w:i w:val="false"/>
          <w:color w:val="000000"/>
          <w:sz w:val="22"/>
        </w:rPr>
        <w:t>[Authorized signature for guarantor]</w:t>
      </w:r>
    </w:p>
    <w:p>
      <w:pPr>
        <w:spacing w:before="0" w:after="0"/>
        <w:ind w:left="120"/>
        <w:jc w:val="both"/>
      </w:pPr>
      <w:r>
        <w:rPr>
          <w:rFonts w:ascii="Times New Roman" w:hAnsi="Times New Roman"/>
          <w:b w:val="false"/>
          <w:i w:val="false"/>
          <w:color w:val="000000"/>
          <w:sz w:val="22"/>
        </w:rPr>
        <w:t>[Name of person signing]</w:t>
      </w:r>
    </w:p>
    <w:p>
      <w:pPr>
        <w:spacing w:before="0" w:after="0"/>
        <w:ind w:left="120"/>
        <w:jc w:val="both"/>
      </w:pPr>
      <w:r>
        <w:rPr>
          <w:rFonts w:ascii="Times New Roman" w:hAnsi="Times New Roman"/>
          <w:b w:val="false"/>
          <w:i w:val="false"/>
          <w:color w:val="000000"/>
          <w:sz w:val="22"/>
        </w:rPr>
        <w:t>[Title of person signing]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Signature of witness or notary:</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guarantor is a state, the local government guarantee without standby trust must be worded as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except that instructions in brackets are to be replaced with relevant information and the brackets deleted. If the guarantor is a local government, the local government guarantee without standby trust must be worded as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except that instructions in brackets are to be replaced with relevant information and the brackets deleted.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Government Guarantee Without Standby Trust Made by a State Guarantee made this [date] by [name of state], herein referred to as guarantor, to the Iowa department of natural resources and to any and all third parties, and obligees, on behalf of [local government owner or operator].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Recitals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Guarantor is a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owner or operator] owns or operates the following underground storage tank(s) covered by this guarantee: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17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of the Iowa Administrative Code (IAC), and the name and address of the facility.] This guarantee satisfies </w:t>
      </w:r>
      <w:hyperlink r:id="rId17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requirements for assuring funding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above-identified underground storage tank(s) in the amount of [insert: dollar amount] per occurrence and [insert: dollar amount] annual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Guarantor guarantees to the department of natural resources and to any and all third parties and obligees that:</w:t>
      </w:r>
    </w:p>
    <w:p>
      <w:pPr>
        <w:spacing w:before="0" w:after="0"/>
        <w:ind w:left="120"/>
        <w:jc w:val="both"/>
      </w:pPr>
      <w:r>
        <w:rPr>
          <w:rFonts w:ascii="Times New Roman" w:hAnsi="Times New Roman"/>
          <w:b w:val="false"/>
          <w:i w:val="false"/>
          <w:color w:val="000000"/>
          <w:sz w:val="22"/>
        </w:rPr>
        <w:t>In the event that [local government owner or operator] fails to provide alternative coverage within 60 days after receipt of a notice of cancellation of this guarantee and the director of the Iowa department of natural resources has determined or suspects that a release has occurred at an underground storage tank covered by this guarantee, the guarantor, upon written instructions from the [director], shall make funds available to pay for corrective actions and compensate third parties for bodily injury and property damage in an amount not to exceed the coverage limits specified above.</w:t>
      </w:r>
    </w:p>
    <w:p>
      <w:pPr>
        <w:spacing w:before="0" w:after="0"/>
        <w:ind w:left="120"/>
        <w:jc w:val="both"/>
      </w:pPr>
      <w:r>
        <w:rPr>
          <w:rFonts w:ascii="Times New Roman" w:hAnsi="Times New Roman"/>
          <w:b w:val="false"/>
          <w:i w:val="false"/>
          <w:color w:val="000000"/>
          <w:sz w:val="22"/>
        </w:rPr>
        <w:t xml:space="preserve">In the event that the [director] determines that [local government owner or operator] has failed to perform corrective action for releases arising out of the operation of the above-identified tank(s) in accordance with </w:t>
      </w:r>
      <w:hyperlink r:id="rId17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IAC, the guarantor, upon written instructions from the [director], shall make funds available to pay for corrective actions in an amount not to exceed the coverage limits specified above.</w:t>
      </w:r>
    </w:p>
    <w:p>
      <w:pPr>
        <w:spacing w:before="0" w:after="0"/>
        <w:ind w:left="120"/>
        <w:jc w:val="both"/>
      </w:pPr>
      <w:r>
        <w:rPr>
          <w:rFonts w:ascii="Times New Roman" w:hAnsi="Times New Roman"/>
          <w:b w:val="false"/>
          <w:i w:val="false"/>
          <w:color w:val="000000"/>
          <w:sz w:val="22"/>
        </w:rPr>
        <w:t>If [owner or operator] fails to satisfy a judgment or award based on a determination of liability for bodily injury or property damage to third parties caused by [“sudden” and/or “nonsudden”] accidental releases arising from the operation of the above-identified tank(s), or fails to pay an amount agreed to in settlement of a claim arising from or alleged to arise from such injury or damage, the guarantor, upon written instructions from the [director], shall make funds available to compensate third parties for bodily injury and property damage in an amount not to exceed the coverage limits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Guarantor agrees to notify [owner or operator] by certified mail of a voluntary or involuntary proceeding under Title 11 (Bankruptcy), U.S. Code, naming guarantor as debtor, within 10 days after commencement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notwithstanding any modification or alteration of any obligation of [owner or operator] pursuant to </w:t>
      </w:r>
      <w:hyperlink r:id="rId17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t>
      </w:r>
      <w:hyperlink r:id="rId175">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for so long as [local government owner or operator] must comply with the applicable financial responsibility requirements of </w:t>
      </w:r>
      <w:hyperlink r:id="rId17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for the above-identified tank(s), except that guarantor may cancel this guarantee by sending notice by certified mail to [owner or operator], such cancellation to become effective no earlier than 120 days after receipt of such notice by [owner or operator], as evidenced by the return receipt. If notified of a probable release, the guarantor agrees to remain bound to the terms of this guarantee for all charges arising from the release, up to the coverage limits specified above, notwithstanding the cancellation of the guarantee with respect to future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guarantor’s obligation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of [local government owner or operator] under a workers’ compensation, disability benefits, or unemployment compensation law or other similar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Bodily injury to an employee of [insert: local government owner or operator] arising from, and in the course of, employment by [insert: local government owner or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Bodily injury or property damage arising from the ownership, maintenance, use, or entrustment to others of any aircraft, motor vehicle, or watercraft;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Property damage to any property owned, rented, loaned to, in the care, custody, or control of, or occupied by [insert: local government owner or operator] that is not the direct result of a release from a petroleum underground storage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Bodily damage or property damage for which [insert: owner or operator] is obligated to pay damages by reason of the assumption of liability in a contract or agreement other than a contract or agreement entered into to meet the requirements of </w:t>
      </w:r>
      <w:hyperlink r:id="rId177">
        <w:r>
          <w:rPr>
            <w:rStyle w:val="Hyperlink"/>
            <w:rFonts w:ascii="Times New Roman" w:hAnsi="Times New Roman"/>
            <w:b w:val="false"/>
            <w:i w:val="false"/>
            <w:color w:val="000000"/>
            <w:sz w:val="22"/>
          </w:rPr>
          <w:t>567—136.4</w:t>
        </w:r>
      </w:hyperlink>
      <w:r>
        <w:rPr>
          <w:rFonts w:ascii="Times New Roman" w:hAnsi="Times New Roman"/>
          <w:b w:val="false"/>
          <w:i w:val="false"/>
          <w:color w:val="000000"/>
          <w:sz w:val="22"/>
        </w:rPr>
        <w:t>(455B)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Guarantor expressly waives notice of acceptance of this guarantee by [the implementing agency], by any or all third parties, or by [local government owner or operator].</w:t>
      </w:r>
    </w:p>
    <w:p>
      <w:pPr>
        <w:spacing w:before="0" w:after="0"/>
        <w:ind w:left="120"/>
        <w:jc w:val="both"/>
      </w:pPr>
      <w:r>
        <w:rPr>
          <w:rFonts w:ascii="Times New Roman" w:hAnsi="Times New Roman"/>
          <w:b w:val="false"/>
          <w:i w:val="false"/>
          <w:color w:val="000000"/>
          <w:sz w:val="22"/>
        </w:rPr>
        <w:t xml:space="preserve">I hereby certify that the wording of this guarantee is identical to the wording specified in </w:t>
      </w:r>
      <w:hyperlink r:id="rId178">
        <w:r>
          <w:rPr>
            <w:rStyle w:val="Hyperlink"/>
            <w:rFonts w:ascii="Times New Roman" w:hAnsi="Times New Roman"/>
            <w:b w:val="false"/>
            <w:i w:val="false"/>
            <w:color w:val="000000"/>
            <w:sz w:val="22"/>
          </w:rPr>
          <w:t>567—subrule 136.15(5)</w:t>
        </w:r>
      </w:hyperlink>
      <w:r>
        <w:rPr>
          <w:rFonts w:ascii="Times New Roman" w:hAnsi="Times New Roman"/>
          <w:b w:val="false"/>
          <w:i w:val="false"/>
          <w:color w:val="000000"/>
          <w:sz w:val="22"/>
        </w:rPr>
        <w:t xml:space="preserve"> IAC on the effective date shown immediately below.</w:t>
      </w:r>
    </w:p>
    <w:p>
      <w:pPr>
        <w:spacing w:before="0" w:after="0"/>
        <w:ind w:left="120"/>
        <w:jc w:val="both"/>
      </w:pPr>
      <w:r>
        <w:rPr>
          <w:rFonts w:ascii="Times New Roman" w:hAnsi="Times New Roman"/>
          <w:b w:val="false"/>
          <w:i w:val="false"/>
          <w:color w:val="000000"/>
          <w:sz w:val="22"/>
        </w:rPr>
        <w:t>Effective date:</w:t>
      </w:r>
    </w:p>
    <w:p>
      <w:pPr>
        <w:spacing w:before="0" w:after="0"/>
        <w:ind w:left="120"/>
        <w:jc w:val="both"/>
      </w:pPr>
      <w:r>
        <w:rPr>
          <w:rFonts w:ascii="Times New Roman" w:hAnsi="Times New Roman"/>
          <w:b w:val="false"/>
          <w:i w:val="false"/>
          <w:color w:val="000000"/>
          <w:sz w:val="22"/>
        </w:rPr>
        <w:t>[Name of guarantor]</w:t>
      </w:r>
    </w:p>
    <w:p>
      <w:pPr>
        <w:spacing w:before="0" w:after="0"/>
        <w:ind w:left="120"/>
        <w:jc w:val="both"/>
      </w:pPr>
      <w:r>
        <w:rPr>
          <w:rFonts w:ascii="Times New Roman" w:hAnsi="Times New Roman"/>
          <w:b w:val="false"/>
          <w:i w:val="false"/>
          <w:color w:val="000000"/>
          <w:sz w:val="22"/>
        </w:rPr>
        <w:t>[Authorized signature for guarantor]</w:t>
      </w:r>
    </w:p>
    <w:p>
      <w:pPr>
        <w:spacing w:before="0" w:after="0"/>
        <w:ind w:left="120"/>
        <w:jc w:val="both"/>
      </w:pPr>
      <w:r>
        <w:rPr>
          <w:rFonts w:ascii="Times New Roman" w:hAnsi="Times New Roman"/>
          <w:b w:val="false"/>
          <w:i w:val="false"/>
          <w:color w:val="000000"/>
          <w:sz w:val="22"/>
        </w:rPr>
        <w:t>[Name of person signing]</w:t>
      </w:r>
    </w:p>
    <w:p>
      <w:pPr>
        <w:spacing w:before="0" w:after="0"/>
        <w:ind w:left="120"/>
        <w:jc w:val="both"/>
      </w:pPr>
      <w:r>
        <w:rPr>
          <w:rFonts w:ascii="Times New Roman" w:hAnsi="Times New Roman"/>
          <w:b w:val="false"/>
          <w:i w:val="false"/>
          <w:color w:val="000000"/>
          <w:sz w:val="22"/>
        </w:rPr>
        <w:t>[Title of person signing]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Signature of witness or notary:</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Guarantee Without Standby Trust Made by a Local Government Guarantee made this [date] by [name of guaranteeing entity], a local government organized under the laws of [name of state], herein referred to as guarantor, to the Iowa department of natural resources and to any and all third parties, and obligees, on behalf of [local government owner or operator].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Recitals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meets or exceeds [select one: the local government bond rating test requirements of </w:t>
      </w:r>
      <w:hyperlink r:id="rId179">
        <w:r>
          <w:rPr>
            <w:rStyle w:val="Hyperlink"/>
            <w:rFonts w:ascii="Times New Roman" w:hAnsi="Times New Roman"/>
            <w:b w:val="false"/>
            <w:i w:val="false"/>
            <w:color w:val="000000"/>
            <w:sz w:val="22"/>
          </w:rPr>
          <w:t>567—136.13(455B)</w:t>
        </w:r>
      </w:hyperlink>
      <w:r>
        <w:rPr>
          <w:rFonts w:ascii="Times New Roman" w:hAnsi="Times New Roman"/>
          <w:b w:val="false"/>
          <w:i w:val="false"/>
          <w:color w:val="000000"/>
          <w:sz w:val="22"/>
        </w:rPr>
        <w:t xml:space="preserve"> of the Iowa Administrative Code (IAC), the local government financial test requirements of </w:t>
      </w:r>
      <w:hyperlink r:id="rId180">
        <w:r>
          <w:rPr>
            <w:rStyle w:val="Hyperlink"/>
            <w:rFonts w:ascii="Times New Roman" w:hAnsi="Times New Roman"/>
            <w:b w:val="false"/>
            <w:i w:val="false"/>
            <w:color w:val="000000"/>
            <w:sz w:val="22"/>
          </w:rPr>
          <w:t>567—136.14(455B)</w:t>
        </w:r>
      </w:hyperlink>
      <w:r>
        <w:rPr>
          <w:rFonts w:ascii="Times New Roman" w:hAnsi="Times New Roman"/>
          <w:b w:val="false"/>
          <w:i w:val="false"/>
          <w:color w:val="000000"/>
          <w:sz w:val="22"/>
        </w:rPr>
        <w:t xml:space="preserve"> IAC, the local government fund under </w:t>
      </w:r>
      <w:hyperlink r:id="rId181">
        <w:r>
          <w:rPr>
            <w:rStyle w:val="Hyperlink"/>
            <w:rFonts w:ascii="Times New Roman" w:hAnsi="Times New Roman"/>
            <w:b w:val="false"/>
            <w:i w:val="false"/>
            <w:color w:val="000000"/>
            <w:sz w:val="22"/>
          </w:rPr>
          <w:t>567—subrule 136.16(1)</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136.16(2)</w:t>
        </w:r>
      </w:hyperlink>
      <w:r>
        <w:rPr>
          <w:rFonts w:ascii="Times New Roman" w:hAnsi="Times New Roman"/>
          <w:b w:val="false"/>
          <w:i w:val="false"/>
          <w:color w:val="000000"/>
          <w:sz w:val="22"/>
        </w:rPr>
        <w:t xml:space="preserve"> or </w:t>
      </w:r>
      <w:hyperlink r:id="rId183">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owner or operator] owns or operates the following underground storage tank(s) covered by this guarantee: [List the number of tanks at each facility and the name(s) and address(es) of the facility(ies) where the tanks are located. If more than one instrument is used to assure different tanks at any one facility, for each tank covered by this instrument, list the tank identification number provided in the notification submitted pursuant to </w:t>
      </w:r>
      <w:hyperlink r:id="rId18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IAC or the corresponding state requirement, and the name and address of the facility.] This guarantee satisfies </w:t>
      </w:r>
      <w:hyperlink r:id="rId18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requirements for assuring funding for [insert: “taking corrective action” and/or “compensating third parties for bodily injury and property damage caused by” either “sudden accidental releases” or “nonsudden accidental releases” or “accidental releases”; if coverage is different for different tanks or locations, indicate the type of coverage applicable to each tank or location] arising from operating the above-identified underground storage tank(s) in the amount of [insert: dollar amount] per occurrence and [insert: dollar amount] annual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 to our substantial governmental relationship with [local government owner or operator], guarantor guarantees to the Iowa department of natural resources and to any and all third parties and obligees that:</w:t>
      </w:r>
    </w:p>
    <w:p>
      <w:pPr>
        <w:spacing w:before="0" w:after="0"/>
        <w:ind w:left="120"/>
        <w:jc w:val="both"/>
      </w:pPr>
      <w:r>
        <w:rPr>
          <w:rFonts w:ascii="Times New Roman" w:hAnsi="Times New Roman"/>
          <w:b w:val="false"/>
          <w:i w:val="false"/>
          <w:color w:val="000000"/>
          <w:sz w:val="22"/>
        </w:rPr>
        <w:t>In the event that [local government owner or operator] fails to provide alternative coverage within 60 days after receipt of a notice of cancellation of this guarantee and the director of the Iowa department of natural resources has determined or suspects that a release has occurred at an underground storage tank covered by this guarantee, the guarantor, upon written instructions from the [director], shall make funds available to pay for corrective actions and compensate third parties for bodily injury and property damage in an amount not to exceed the coverage limits specified above.</w:t>
      </w:r>
    </w:p>
    <w:p>
      <w:pPr>
        <w:spacing w:before="0" w:after="0"/>
        <w:ind w:left="120"/>
        <w:jc w:val="both"/>
      </w:pPr>
      <w:r>
        <w:rPr>
          <w:rFonts w:ascii="Times New Roman" w:hAnsi="Times New Roman"/>
          <w:b w:val="false"/>
          <w:i w:val="false"/>
          <w:color w:val="000000"/>
          <w:sz w:val="22"/>
        </w:rPr>
        <w:t xml:space="preserve">In the event that the [director] determines that [local government owner or operator] has failed to perform corrective action for releases arising out of the operation of the above-identified tank(s) in accordance with </w:t>
      </w:r>
      <w:hyperlink r:id="rId18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IAC, the guarantor, upon written instructions from the [director], shall make funds available to pay for corrective actions in an amount not to exceed the coverage limits specified above.</w:t>
      </w:r>
    </w:p>
    <w:p>
      <w:pPr>
        <w:spacing w:before="0" w:after="0"/>
        <w:ind w:left="120"/>
        <w:jc w:val="both"/>
      </w:pPr>
      <w:r>
        <w:rPr>
          <w:rFonts w:ascii="Times New Roman" w:hAnsi="Times New Roman"/>
          <w:b w:val="false"/>
          <w:i w:val="false"/>
          <w:color w:val="000000"/>
          <w:sz w:val="22"/>
        </w:rPr>
        <w:t>If [owner or operator] fails to satisfy a judgment or award based on a determination of liability for bodily injury or property damage to third parties caused by [“sudden” and/or “nonsudden”] accidental releases arising from the operation of the above-identified tank(s), or fails to pay an amount agreed to in settlement of a claim arising from or alleged to arise from such injury or damage, the guarantor, upon written instructions from the [director], shall make funds available to compensate third parties for bodily injury and property damage in an amount not to exceed the coverage limits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Guarantor agrees that if at the end of any fiscal year before cancellation of this guarantee, the guarantor fails to meet or exceed the requirements of the financial responsibility mechanism specified in paragraph (1), guarantor shall send within 120 days of such failure, by certified mail, notice to [local government owner or operator],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Guarantor agrees to notify [owner or operator] by certified mail of a voluntary or involuntary proceeding under Title 11 (Bankruptcy), U.S. Code, naming guarantor as debtor, within 10 days after commencement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notwithstanding any modification or alteration of any obligation of [owner or operator] pursuant to </w:t>
      </w:r>
      <w:hyperlink r:id="rId18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t>
      </w:r>
      <w:hyperlink r:id="rId188">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Guarantor agrees to remain bound under this guarantee for so long as [local government owner or operator] must comply with the applicable financial responsibility requirements of </w:t>
      </w:r>
      <w:hyperlink r:id="rId18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for the above-identified tank(s), except that guarantor may cancel this guarantee by sending notice by certified mail to [owner or operator], such cancellation to become effective no earlier than 120 days after receipt of such notice by [owner or operator], as evidenced by the return receipt. If notified of a probable release, the guarantor agrees to remain bound to the terms of this guarantee for all charges arising from the release, up to the coverage limits specified above, notwithstanding the cancellation of the guarantee with respect to future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guarantor’s obligation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of [local government owner or operator] under a workers’ compensation, disability benefits, or unemployment compensation law or other similar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Bodily injury to an employee of [insert: local government owner or operator] arising from, and in the course of, employment by [insert: local government owner or operator];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Bodily injury or property damage arising from the ownership, maintenance, use, or entrustment to others of any aircraft, motor vehicle, or watercraft;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Property damage to any property owned, rented, loaned to, in the care, custody, or control of, or occupied by [insert: local government owner or operator] that is not the direct result of a release from a petroleum underground storage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Bodily damage or property damage for which [insert: owner or operator] is obligated to pay damages by reason of the assumption of liability in a contract or agreement other than a contract or agreement entered into to meet the requirements of </w:t>
      </w:r>
      <w:hyperlink r:id="rId190">
        <w:r>
          <w:rPr>
            <w:rStyle w:val="Hyperlink"/>
            <w:rFonts w:ascii="Times New Roman" w:hAnsi="Times New Roman"/>
            <w:b w:val="false"/>
            <w:i w:val="false"/>
            <w:color w:val="000000"/>
            <w:sz w:val="22"/>
          </w:rPr>
          <w:t>567—136.4(455B)</w:t>
        </w:r>
      </w:hyperlink>
      <w:r>
        <w:rPr>
          <w:rFonts w:ascii="Times New Roman" w:hAnsi="Times New Roman"/>
          <w:b w:val="false"/>
          <w:i w:val="false"/>
          <w:color w:val="000000"/>
          <w:sz w:val="22"/>
        </w:rPr>
        <w:t xml:space="preserve">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Guarantor expressly waives notice of acceptance of this guarantee by the Iowa department of natural resources, by any or all third parties, or by [local government owner or operator].</w:t>
      </w:r>
    </w:p>
    <w:p>
      <w:pPr>
        <w:spacing w:before="0" w:after="0"/>
        <w:ind w:left="120"/>
        <w:jc w:val="both"/>
      </w:pPr>
      <w:r>
        <w:rPr>
          <w:rFonts w:ascii="Times New Roman" w:hAnsi="Times New Roman"/>
          <w:b w:val="false"/>
          <w:i w:val="false"/>
          <w:color w:val="000000"/>
          <w:sz w:val="22"/>
        </w:rPr>
        <w:t xml:space="preserve">I hereby certify that the wording of this guarantee is identical to the wording specified in </w:t>
      </w:r>
      <w:hyperlink r:id="rId191">
        <w:r>
          <w:rPr>
            <w:rStyle w:val="Hyperlink"/>
            <w:rFonts w:ascii="Times New Roman" w:hAnsi="Times New Roman"/>
            <w:b w:val="false"/>
            <w:i w:val="false"/>
            <w:color w:val="000000"/>
            <w:sz w:val="22"/>
          </w:rPr>
          <w:t>567—subrule 136.15(5)</w:t>
        </w:r>
      </w:hyperlink>
      <w:r>
        <w:rPr>
          <w:rFonts w:ascii="Times New Roman" w:hAnsi="Times New Roman"/>
          <w:b w:val="false"/>
          <w:i w:val="false"/>
          <w:color w:val="000000"/>
          <w:sz w:val="22"/>
        </w:rPr>
        <w:t xml:space="preserve"> IAC on the effective date shown immediately below.</w:t>
      </w:r>
    </w:p>
    <w:p>
      <w:pPr>
        <w:spacing w:before="0" w:after="0"/>
        <w:ind w:left="120"/>
        <w:jc w:val="both"/>
      </w:pPr>
      <w:r>
        <w:rPr>
          <w:rFonts w:ascii="Times New Roman" w:hAnsi="Times New Roman"/>
          <w:b w:val="false"/>
          <w:i w:val="false"/>
          <w:color w:val="000000"/>
          <w:sz w:val="22"/>
        </w:rPr>
        <w:t>Effective date:</w:t>
      </w:r>
    </w:p>
    <w:p>
      <w:pPr>
        <w:spacing w:before="0" w:after="0"/>
        <w:ind w:left="120"/>
        <w:jc w:val="both"/>
      </w:pPr>
      <w:r>
        <w:rPr>
          <w:rFonts w:ascii="Times New Roman" w:hAnsi="Times New Roman"/>
          <w:b w:val="false"/>
          <w:i w:val="false"/>
          <w:color w:val="000000"/>
          <w:sz w:val="22"/>
        </w:rPr>
        <w:t>[Name of guarantor]</w:t>
      </w:r>
    </w:p>
    <w:p>
      <w:pPr>
        <w:spacing w:before="0" w:after="0"/>
        <w:ind w:left="120"/>
        <w:jc w:val="both"/>
      </w:pPr>
      <w:r>
        <w:rPr>
          <w:rFonts w:ascii="Times New Roman" w:hAnsi="Times New Roman"/>
          <w:b w:val="false"/>
          <w:i w:val="false"/>
          <w:color w:val="000000"/>
          <w:sz w:val="22"/>
        </w:rPr>
        <w:t>[Authorized signature for guarantor]</w:t>
      </w:r>
    </w:p>
    <w:p>
      <w:pPr>
        <w:spacing w:before="0" w:after="0"/>
        <w:ind w:left="120"/>
        <w:jc w:val="both"/>
      </w:pPr>
      <w:r>
        <w:rPr>
          <w:rFonts w:ascii="Times New Roman" w:hAnsi="Times New Roman"/>
          <w:b w:val="false"/>
          <w:i w:val="false"/>
          <w:color w:val="000000"/>
          <w:sz w:val="22"/>
        </w:rPr>
        <w:t>[Name of person signing]</w:t>
      </w:r>
    </w:p>
    <w:p>
      <w:pPr>
        <w:spacing w:before="0" w:after="0"/>
        <w:ind w:left="120"/>
        <w:jc w:val="both"/>
      </w:pPr>
      <w:r>
        <w:rPr>
          <w:rFonts w:ascii="Times New Roman" w:hAnsi="Times New Roman"/>
          <w:b w:val="false"/>
          <w:i w:val="false"/>
          <w:color w:val="000000"/>
          <w:sz w:val="22"/>
        </w:rPr>
        <w:t>[Title of person signing]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Signature of witness or notary:</w:t>
      </w:r>
    </w:p>
    <w:p>
      <w:pPr>
        <w:spacing w:before="0" w:after="0"/>
        <w:ind w:left="120"/>
        <w:jc w:val="both"/>
      </w:pPr>
    </w:p>
    <w:p>
      <w:pPr>
        <w:spacing w:before="0" w:after="0"/>
        <w:ind w:left="120"/>
        <w:jc w:val="both"/>
      </w:pPr>
      <w:r>
        <w:rPr>
          <w:rFonts w:ascii="Times New Roman" w:hAnsi="Times New Roman"/>
          <w:b/>
          <w:i w:val="false"/>
          <w:color w:val="000000"/>
          <w:sz w:val="22"/>
        </w:rPr>
        <w:t>567—136.16</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government fund. </w:t>
      </w:r>
      <w:r>
        <w:rPr>
          <w:rFonts w:ascii="Times New Roman" w:hAnsi="Times New Roman"/>
          <w:b w:val="false"/>
          <w:i w:val="false"/>
          <w:color w:val="000000"/>
          <w:sz w:val="22"/>
        </w:rPr>
        <w:t xml:space="preserve">A local government owner or operator may satisfy the requirements of </w:t>
      </w:r>
      <w:hyperlink r:id="rId192">
        <w:r>
          <w:rPr>
            <w:rStyle w:val="Hyperlink"/>
            <w:rFonts w:ascii="Times New Roman" w:hAnsi="Times New Roman"/>
            <w:b w:val="false"/>
            <w:i w:val="false"/>
            <w:color w:val="000000"/>
            <w:sz w:val="22"/>
          </w:rPr>
          <w:t>rule 567—136.4(455B)</w:t>
        </w:r>
      </w:hyperlink>
      <w:r>
        <w:rPr>
          <w:rFonts w:ascii="Times New Roman" w:hAnsi="Times New Roman"/>
          <w:b w:val="false"/>
          <w:i w:val="false"/>
          <w:color w:val="000000"/>
          <w:sz w:val="22"/>
        </w:rPr>
        <w:t xml:space="preserve"> by establishing a dedicated fund account that conforms to the requirements of this rule. Except as specified in </w:t>
      </w:r>
      <w:hyperlink r:id="rId193">
        <w:r>
          <w:rPr>
            <w:rStyle w:val="Hyperlink"/>
            <w:rFonts w:ascii="Times New Roman" w:hAnsi="Times New Roman"/>
            <w:b w:val="false"/>
            <w:i w:val="false"/>
            <w:color w:val="000000"/>
            <w:sz w:val="22"/>
          </w:rPr>
          <w:t>subrule 136.16(2)</w:t>
        </w:r>
      </w:hyperlink>
      <w:r>
        <w:rPr>
          <w:rFonts w:ascii="Times New Roman" w:hAnsi="Times New Roman"/>
          <w:b w:val="false"/>
          <w:i w:val="false"/>
          <w:color w:val="000000"/>
          <w:sz w:val="22"/>
        </w:rPr>
        <w:t>, a dedicated fund may not be commingled with other funds or otherwise used in normal operations. A dedicated fund will be considered eligible if it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136.16(1)</w:t>
      </w:r>
      <w:r>
        <w:rPr>
          <w:rFonts w:ascii="Times New Roman" w:hAnsi="Times New Roman"/>
          <w:b w:val="false"/>
          <w:i w:val="false"/>
          <w:color w:val="000000"/>
          <w:sz w:val="22"/>
        </w:rPr>
        <w:t> </w:t>
      </w:r>
      <w:r>
        <w:rPr>
          <w:rFonts w:ascii="Times New Roman" w:hAnsi="Times New Roman"/>
          <w:b w:val="false"/>
          <w:i w:val="false"/>
          <w:color w:val="000000"/>
          <w:sz w:val="22"/>
        </w:rPr>
        <w:t>The fund is dedicated by state constitutional provision, or local government statute, charter, ordinance, or order to pay for taking corrective action and for compensating third parties for bodily injury and property damage caused by accidental releases arising from the operation of petroleum underground storage tanks and is funded for the full amount of coverage required under rule 567—</w:t>
      </w:r>
      <w:hyperlink r:id="rId194">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or funded for part of the required amount of coverage and used in combination with other mechanism(s) that provide the remaining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136.16(2)</w:t>
      </w:r>
      <w:r>
        <w:rPr>
          <w:rFonts w:ascii="Times New Roman" w:hAnsi="Times New Roman"/>
          <w:b w:val="false"/>
          <w:i w:val="false"/>
          <w:color w:val="000000"/>
          <w:sz w:val="22"/>
        </w:rPr>
        <w:t> </w:t>
      </w:r>
      <w:r>
        <w:rPr>
          <w:rFonts w:ascii="Times New Roman" w:hAnsi="Times New Roman"/>
          <w:b w:val="false"/>
          <w:i w:val="false"/>
          <w:color w:val="000000"/>
          <w:sz w:val="22"/>
        </w:rPr>
        <w:t>The fund is dedicated by state constitutional provision, or local government statute, charter, ordinance, or order as a contingency fund for general emergencies, including taking corrective action and compensating third parties for bodily injury and property damage caused by accidental releases arising from the operation of petroleum underground storage tanks, and is funded for five times the full amount of coverage required under rule 567—</w:t>
      </w:r>
      <w:hyperlink r:id="rId195">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or funded for part of the required amount of coverage and used in combination with other mechanism(s) that provide the remaining coverage. If the fund is funded for less than five times the amount of coverage required under rule 567—</w:t>
      </w:r>
      <w:hyperlink r:id="rId196">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the amount of financial responsibility demonstrated by the fund may not exceed one-fifth the amount in the fund;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136.16(3)</w:t>
      </w:r>
      <w:r>
        <w:rPr>
          <w:rFonts w:ascii="Times New Roman" w:hAnsi="Times New Roman"/>
          <w:b w:val="false"/>
          <w:i w:val="false"/>
          <w:color w:val="000000"/>
          <w:sz w:val="22"/>
        </w:rPr>
        <w:t> </w:t>
      </w:r>
      <w:r>
        <w:rPr>
          <w:rFonts w:ascii="Times New Roman" w:hAnsi="Times New Roman"/>
          <w:b w:val="false"/>
          <w:i w:val="false"/>
          <w:color w:val="000000"/>
          <w:sz w:val="22"/>
        </w:rPr>
        <w:t>The fund is dedicated by state constitutional provision, or local government statute, charter, ordinance, or order to pay for taking corrective action and for compensating third parties for bodily injury and property damage caused by accidental releases arising from the operation of petroleum underground storage tanks. A payment is made to the fund once every year for seven years until the fund is fully funded. This seven-year period is hereafter referred to as the “pay-in period.” The amount of each payment must be determined by this formula:</w:t>
      </w:r>
    </w:p>
    <w:p>
      <w:pPr>
        <w:spacing w:before="0" w:after="0"/>
        <w:ind w:left="120"/>
        <w:jc w:val="center"/>
      </w:pPr>
      <w:r>
        <w:rPr>
          <w:rFonts w:ascii="Times New Roman" w:hAnsi="Times New Roman"/>
          <w:b w:val="false"/>
          <w:i w:val="false"/>
          <w:color w:val="000000"/>
          <w:sz w:val="22"/>
          <w:u w:val="single"/>
        </w:rPr>
        <w:t>TF - CF</w:t>
      </w:r>
    </w:p>
    <w:p>
      <w:pPr>
        <w:spacing w:before="0" w:after="0"/>
        <w:ind w:left="120"/>
        <w:jc w:val="center"/>
      </w:pPr>
      <w:r>
        <w:rPr>
          <w:rFonts w:ascii="Times New Roman" w:hAnsi="Times New Roman"/>
          <w:b w:val="false"/>
          <w:i w:val="false"/>
          <w:color w:val="000000"/>
          <w:sz w:val="22"/>
        </w:rPr>
        <w:t>Y</w:t>
      </w:r>
    </w:p>
    <w:p>
      <w:pPr>
        <w:spacing w:before="0" w:after="0"/>
        <w:ind w:left="120"/>
        <w:jc w:val="both"/>
      </w:pPr>
      <w:r>
        <w:rPr>
          <w:rFonts w:ascii="Times New Roman" w:hAnsi="Times New Roman"/>
          <w:b w:val="false"/>
          <w:i w:val="false"/>
          <w:color w:val="000000"/>
          <w:sz w:val="22"/>
        </w:rPr>
        <w:t xml:space="preserve">Where TF is the total required financial assurance for the owner or operator, CF is the current amount in the fund, and Y is the number of years remaining in the pay-in period;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has available bonding authority, approved through voter referendum (if such approval is necessary prior to the issuance of bonds), for an amount equal to the difference between the required amount of coverage and the amount held in the dedicated fund. This bonding authority shall be available for taking corrective action and for compensating third parties for bodily injury and property damage caused by accidental releases arising from the operation of petroleum underground storage tanks,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has a letter signed by the appropriate state attorney general stating that the use of the bonding authority will not increase the local government’s debt beyond the legal debt ceilings established by the relevant state laws. The letter must also state that prior voter approval is not necessary before use of the bonding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136.16(4)</w:t>
      </w:r>
      <w:r>
        <w:rPr>
          <w:rFonts w:ascii="Times New Roman" w:hAnsi="Times New Roman"/>
          <w:b w:val="false"/>
          <w:i w:val="false"/>
          <w:color w:val="000000"/>
          <w:sz w:val="22"/>
        </w:rPr>
        <w:t> </w:t>
      </w:r>
      <w:r>
        <w:rPr>
          <w:rFonts w:ascii="Times New Roman" w:hAnsi="Times New Roman"/>
          <w:b w:val="false"/>
          <w:i w:val="false"/>
          <w:color w:val="000000"/>
          <w:sz w:val="22"/>
        </w:rPr>
        <w:t>To demonstrate that it meets the requirements of the local government fund, the chief financial officer of the local government owner or operator and/or guarantor must sign a letter worded exactly as follows, except that the instructions in brackets are to be replaced by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Letter from Chief Financial Officer</w:t>
      </w:r>
    </w:p>
    <w:p>
      <w:pPr>
        <w:spacing w:before="0" w:after="0"/>
        <w:ind w:left="120"/>
        <w:jc w:val="both"/>
      </w:pPr>
      <w:r>
        <w:rPr>
          <w:rFonts w:ascii="Times New Roman" w:hAnsi="Times New Roman"/>
          <w:b w:val="false"/>
          <w:i w:val="false"/>
          <w:color w:val="000000"/>
          <w:sz w:val="22"/>
        </w:rPr>
        <w:t>I am the chief financial officer of [insert: name and address of local government owner or operator, or guarantor]. This letter is in support of the use of the local government fund mechanism to demonstrate financial responsibility for [insert: “taking corrective action” and/or “compensating third parties for bodily injury and property damage”] caused by [insert: “sudden accidental releases” or “nonsudden accidental releases” “accidental releases”] in the amount of at least [insert: dollar amount] per occurrence and [insert: dollar amount] annual aggregate arising from operating (an) underground storage tank(s).</w:t>
      </w:r>
    </w:p>
    <w:p>
      <w:pPr>
        <w:spacing w:before="0" w:after="0"/>
        <w:ind w:left="120"/>
        <w:jc w:val="both"/>
      </w:pPr>
      <w:r>
        <w:rPr>
          <w:rFonts w:ascii="Times New Roman" w:hAnsi="Times New Roman"/>
          <w:b w:val="false"/>
          <w:i w:val="false"/>
          <w:color w:val="000000"/>
          <w:sz w:val="22"/>
        </w:rPr>
        <w:t>Underground storage tanks at the following facilities are assured by this local government fund mechanism: [List for each facility: the name and address of the facility where tanks are assured by the local government fund].</w:t>
      </w:r>
    </w:p>
    <w:p>
      <w:pPr>
        <w:spacing w:before="0" w:after="0"/>
        <w:ind w:left="120"/>
        <w:jc w:val="both"/>
      </w:pPr>
      <w:r>
        <w:rPr>
          <w:rFonts w:ascii="Times New Roman" w:hAnsi="Times New Roman"/>
          <w:b w:val="false"/>
          <w:i w:val="false"/>
          <w:color w:val="000000"/>
          <w:sz w:val="22"/>
        </w:rPr>
        <w:t xml:space="preserve">[Insert: “The local government fund is funded for the full amount of coverage required under </w:t>
      </w:r>
      <w:hyperlink r:id="rId197">
        <w:r>
          <w:rPr>
            <w:rStyle w:val="Hyperlink"/>
            <w:rFonts w:ascii="Times New Roman" w:hAnsi="Times New Roman"/>
            <w:b w:val="false"/>
            <w:i w:val="false"/>
            <w:color w:val="000000"/>
            <w:sz w:val="22"/>
          </w:rPr>
          <w:t>567—136.4(455B)</w:t>
        </w:r>
      </w:hyperlink>
      <w:r>
        <w:rPr>
          <w:rFonts w:ascii="Times New Roman" w:hAnsi="Times New Roman"/>
          <w:b w:val="false"/>
          <w:i w:val="false"/>
          <w:color w:val="000000"/>
          <w:sz w:val="22"/>
        </w:rPr>
        <w:t xml:space="preserve"> of the Iowa Administrative Code (IAC), or funded for part of the required amount of coverage and used in combination with other mechanism(s) that provide the remaining coverage,” or “The local government fund is funded for five times the full amount of coverage required under </w:t>
      </w:r>
      <w:hyperlink r:id="rId198">
        <w:r>
          <w:rPr>
            <w:rStyle w:val="Hyperlink"/>
            <w:rFonts w:ascii="Times New Roman" w:hAnsi="Times New Roman"/>
            <w:b w:val="false"/>
            <w:i w:val="false"/>
            <w:color w:val="000000"/>
            <w:sz w:val="22"/>
          </w:rPr>
          <w:t>567—136.4(455B)</w:t>
        </w:r>
      </w:hyperlink>
      <w:r>
        <w:rPr>
          <w:rFonts w:ascii="Times New Roman" w:hAnsi="Times New Roman"/>
          <w:b w:val="false"/>
          <w:i w:val="false"/>
          <w:color w:val="000000"/>
          <w:sz w:val="22"/>
        </w:rPr>
        <w:t xml:space="preserve"> IAC, or funded for part of the required amount of coverage and used in combination with other mechanism(s) that provide the remaining coverage,” or “A payment is made to the fund once every year for seven years until the fund is fully funded and [name of local government owner or operator] has available bonding authority, approved through voter referendum, of an amount equal to the difference between the required amount of coverage and the amount held in the dedicated fund” or “A payment is made to the fund once every year for seven years until the fund is fully funded and I have attached a letter signed by the state attorney general stating that (1) the use of the bonding authority will not increase the local government’s debt beyond the legal debt ceilings established by the relevant state laws and (2) prior voter approval is not necessary before use of the bonding authority”.]</w:t>
      </w:r>
    </w:p>
    <w:p>
      <w:pPr>
        <w:spacing w:before="0" w:after="0"/>
        <w:ind w:left="120"/>
        <w:jc w:val="both"/>
      </w:pPr>
      <w:r>
        <w:rPr>
          <w:rFonts w:ascii="Times New Roman" w:hAnsi="Times New Roman"/>
          <w:b w:val="false"/>
          <w:i w:val="false"/>
          <w:color w:val="000000"/>
          <w:sz w:val="22"/>
        </w:rPr>
        <w:t>The details of the local government fund are as follows:</w:t>
      </w:r>
    </w:p>
    <w:p>
      <w:pPr>
        <w:spacing w:before="0" w:after="0"/>
        <w:ind w:left="120"/>
        <w:jc w:val="both"/>
      </w:pPr>
      <w:r>
        <w:rPr>
          <w:rFonts w:ascii="Times New Roman" w:hAnsi="Times New Roman"/>
          <w:b w:val="false"/>
          <w:i w:val="false"/>
          <w:color w:val="000000"/>
          <w:sz w:val="22"/>
        </w:rPr>
        <w:t xml:space="preserve">Amount in fund (market value of fund at close of last fiscal year): </w:t>
      </w:r>
    </w:p>
    <w:p>
      <w:pPr>
        <w:spacing w:before="0" w:after="0"/>
        <w:ind w:left="120"/>
        <w:jc w:val="both"/>
      </w:pPr>
      <w:r>
        <w:rPr>
          <w:rFonts w:ascii="Times New Roman" w:hAnsi="Times New Roman"/>
          <w:b w:val="false"/>
          <w:i w:val="false"/>
          <w:color w:val="000000"/>
          <w:sz w:val="22"/>
        </w:rPr>
        <w:t xml:space="preserve">[If fund balance is incrementally funded as specified in </w:t>
      </w:r>
      <w:hyperlink r:id="rId199">
        <w:r>
          <w:rPr>
            <w:rStyle w:val="Hyperlink"/>
            <w:rFonts w:ascii="Times New Roman" w:hAnsi="Times New Roman"/>
            <w:b w:val="false"/>
            <w:i w:val="false"/>
            <w:color w:val="000000"/>
            <w:sz w:val="22"/>
          </w:rPr>
          <w:t>567—subrule 136.16(4)</w:t>
        </w:r>
      </w:hyperlink>
      <w:r>
        <w:rPr>
          <w:rFonts w:ascii="Times New Roman" w:hAnsi="Times New Roman"/>
          <w:b w:val="false"/>
          <w:i w:val="false"/>
          <w:color w:val="000000"/>
          <w:sz w:val="22"/>
        </w:rPr>
        <w:t xml:space="preserve"> IAC, insert:</w:t>
      </w:r>
    </w:p>
    <w:p>
      <w:pPr>
        <w:spacing w:before="0" w:after="0"/>
        <w:ind w:left="120"/>
        <w:jc w:val="both"/>
      </w:pPr>
      <w:r>
        <w:rPr>
          <w:rFonts w:ascii="Times New Roman" w:hAnsi="Times New Roman"/>
          <w:b w:val="false"/>
          <w:i w:val="false"/>
          <w:color w:val="000000"/>
          <w:sz w:val="22"/>
        </w:rPr>
        <w:t xml:space="preserve">Amount added to fund in the most recently completed fiscal year: </w:t>
      </w:r>
    </w:p>
    <w:p>
      <w:pPr>
        <w:spacing w:before="0" w:after="0"/>
        <w:ind w:left="120"/>
        <w:jc w:val="both"/>
      </w:pPr>
      <w:r>
        <w:rPr>
          <w:rFonts w:ascii="Times New Roman" w:hAnsi="Times New Roman"/>
          <w:b w:val="false"/>
          <w:i w:val="false"/>
          <w:color w:val="000000"/>
          <w:sz w:val="22"/>
        </w:rPr>
        <w:t>Number of years remaining in the pay-in period: _______________ ]</w:t>
      </w:r>
    </w:p>
    <w:p>
      <w:pPr>
        <w:spacing w:before="0" w:after="0"/>
        <w:ind w:left="120"/>
        <w:jc w:val="both"/>
      </w:pPr>
      <w:r>
        <w:rPr>
          <w:rFonts w:ascii="Times New Roman" w:hAnsi="Times New Roman"/>
          <w:b w:val="false"/>
          <w:i w:val="false"/>
          <w:color w:val="000000"/>
          <w:sz w:val="22"/>
        </w:rPr>
        <w:t>A copy of the state constitutional provision, or local government statute, charter, ordinance, or order dedicating the fund is attached.</w:t>
      </w:r>
    </w:p>
    <w:p>
      <w:pPr>
        <w:spacing w:before="0" w:after="0"/>
        <w:ind w:left="120"/>
        <w:jc w:val="both"/>
      </w:pPr>
      <w:r>
        <w:rPr>
          <w:rFonts w:ascii="Times New Roman" w:hAnsi="Times New Roman"/>
          <w:b w:val="false"/>
          <w:i w:val="false"/>
          <w:color w:val="000000"/>
          <w:sz w:val="22"/>
        </w:rPr>
        <w:t xml:space="preserve">I hereby certify that the wording of this letter is identical to the wording specified in </w:t>
      </w:r>
      <w:hyperlink r:id="rId200">
        <w:r>
          <w:rPr>
            <w:rStyle w:val="Hyperlink"/>
            <w:rFonts w:ascii="Times New Roman" w:hAnsi="Times New Roman"/>
            <w:b w:val="false"/>
            <w:i w:val="false"/>
            <w:color w:val="000000"/>
            <w:sz w:val="22"/>
          </w:rPr>
          <w:t>567—subrule 136.16(4)</w:t>
        </w:r>
      </w:hyperlink>
      <w:r>
        <w:rPr>
          <w:rFonts w:ascii="Times New Roman" w:hAnsi="Times New Roman"/>
          <w:b w:val="false"/>
          <w:i w:val="false"/>
          <w:color w:val="000000"/>
          <w:sz w:val="22"/>
        </w:rPr>
        <w:t xml:space="preserve"> IAC on the date shown immediately below.</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[Title]</w:t>
      </w:r>
    </w:p>
    <w:p>
      <w:pPr>
        <w:spacing w:before="0" w:after="0"/>
        <w:ind w:left="120"/>
        <w:jc w:val="both"/>
      </w:pPr>
      <w:r>
        <w:rPr>
          <w:rFonts w:ascii="Times New Roman" w:hAnsi="Times New Roman"/>
          <w:b w:val="false"/>
          <w:i w:val="false"/>
          <w:color w:val="000000"/>
          <w:sz w:val="22"/>
        </w:rPr>
        <w:t>[Date]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567—136.17</w:t>
      </w:r>
      <w:r>
        <w:rPr>
          <w:rFonts w:ascii="Times New Roman" w:hAnsi="Times New Roman"/>
          <w:b/>
          <w:i w:val="false"/>
          <w:color w:val="000000"/>
          <w:sz w:val="22"/>
        </w:rPr>
        <w:t xml:space="preserve">(455B) </w:t>
      </w:r>
      <w:r>
        <w:rPr>
          <w:rFonts w:ascii="Times New Roman" w:hAnsi="Times New Roman"/>
          <w:b/>
          <w:i w:val="false"/>
          <w:color w:val="000000"/>
          <w:sz w:val="22"/>
        </w:rPr>
        <w:t xml:space="preserve">Substitution of financial assurance mechanisms by owner or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136.17(1)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substitute any alternate financial assurance mechanisms as specified in this chapter provided that at all times an effective financial assurance mechanism or combination of mechanisms that satisfied the requirements of rule 567—</w:t>
      </w:r>
      <w:hyperlink r:id="rId201">
        <w:r>
          <w:rPr>
            <w:rStyle w:val="Hyperlink"/>
            <w:rFonts w:ascii="Times New Roman" w:hAnsi="Times New Roman"/>
            <w:b w:val="false"/>
            <w:i w:val="false"/>
            <w:color w:val="000000"/>
            <w:sz w:val="22"/>
          </w:rPr>
          <w:t>136.4(455B)</w:t>
        </w:r>
      </w:hyperlink>
      <w:r>
        <w:rPr>
          <w:rFonts w:ascii="Times New Roman" w:hAnsi="Times New Roman"/>
          <w:b w:val="false"/>
          <w:i w:val="false"/>
          <w:color w:val="000000"/>
          <w:sz w:val="22"/>
        </w:rPr>
        <w:t xml:space="preserv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136.17(2)</w:t>
      </w:r>
      <w:r>
        <w:rPr>
          <w:rFonts w:ascii="Times New Roman" w:hAnsi="Times New Roman"/>
          <w:b w:val="false"/>
          <w:i w:val="false"/>
          <w:color w:val="000000"/>
          <w:sz w:val="22"/>
        </w:rPr>
        <w:t> </w:t>
      </w:r>
      <w:r>
        <w:rPr>
          <w:rFonts w:ascii="Times New Roman" w:hAnsi="Times New Roman"/>
          <w:b w:val="false"/>
          <w:i w:val="false"/>
          <w:color w:val="000000"/>
          <w:sz w:val="22"/>
        </w:rPr>
        <w:t>After obtaining alternate financial assurance as specified in this chapter, an owner or operator may cancel a financial assurance mechanism by providing notice to the provider of financial assurance.</w:t>
      </w:r>
    </w:p>
    <w:p>
      <w:pPr>
        <w:spacing w:before="0" w:after="0"/>
        <w:ind w:left="120"/>
        <w:jc w:val="both"/>
      </w:pPr>
      <w:r>
        <w:rPr>
          <w:rFonts w:ascii="Times New Roman" w:hAnsi="Times New Roman"/>
          <w:b/>
          <w:i w:val="false"/>
          <w:color w:val="000000"/>
          <w:sz w:val="22"/>
        </w:rPr>
        <w:t>567—136.18</w:t>
      </w:r>
      <w:r>
        <w:rPr>
          <w:rFonts w:ascii="Times New Roman" w:hAnsi="Times New Roman"/>
          <w:b/>
          <w:i w:val="false"/>
          <w:color w:val="000000"/>
          <w:sz w:val="22"/>
        </w:rPr>
        <w:t xml:space="preserve">(455B) </w:t>
      </w:r>
      <w:r>
        <w:rPr>
          <w:rFonts w:ascii="Times New Roman" w:hAnsi="Times New Roman"/>
          <w:b/>
          <w:i w:val="false"/>
          <w:color w:val="000000"/>
          <w:sz w:val="22"/>
        </w:rPr>
        <w:t xml:space="preserve">Cancellation or nonrenewal by a provider of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136.18(1)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a provider of financial assurance may cancel or fail to renew an assurance mechanism by sending a notice of termination by certified mail to the owner or operator. For claims-made policies, the notice of termination must clearly advise the insured and any named additional insureds of the effective termination date and the applicable extended reporting period under which a claim must be made to preserve coverage as provided in </w:t>
      </w:r>
      <w:hyperlink r:id="rId202">
        <w:r>
          <w:rPr>
            <w:rStyle w:val="Hyperlink"/>
            <w:rFonts w:ascii="Times New Roman" w:hAnsi="Times New Roman"/>
            <w:b w:val="false"/>
            <w:i w:val="false"/>
            <w:color w:val="000000"/>
            <w:sz w:val="22"/>
          </w:rPr>
          <w:t>136.8(2)</w:t>
        </w:r>
      </w:hyperlink>
      <w:r>
        <w:rPr>
          <w:rFonts w:ascii="Times New Roman" w:hAnsi="Times New Roman"/>
          <w:b w:val="false"/>
          <w:i/>
          <w:color w:val="000000"/>
          <w:sz w:val="22"/>
        </w:rPr>
        <w:t>“a”</w:t>
      </w:r>
      <w:r>
        <w:rPr>
          <w:rFonts w:ascii="Times New Roman" w:hAnsi="Times New Roman"/>
          <w:b w:val="false"/>
          <w:i w:val="false"/>
          <w:color w:val="000000"/>
          <w:sz w:val="22"/>
        </w:rPr>
        <w:t xml:space="preserve">(2)“6” and </w:t>
      </w:r>
      <w:hyperlink r:id="rId203">
        <w:r>
          <w:rPr>
            <w:rStyle w:val="Hyperlink"/>
            <w:rFonts w:ascii="Times New Roman" w:hAnsi="Times New Roman"/>
            <w:b w:val="false"/>
            <w:i w:val="false"/>
            <w:color w:val="000000"/>
            <w:sz w:val="22"/>
          </w:rPr>
          <w:t>136.8(2)</w:t>
        </w:r>
      </w:hyperlink>
      <w:r>
        <w:rPr>
          <w:rFonts w:ascii="Times New Roman" w:hAnsi="Times New Roman"/>
          <w:b w:val="false"/>
          <w:i/>
          <w:color w:val="000000"/>
          <w:sz w:val="22"/>
        </w:rPr>
        <w:t>“b”</w:t>
      </w:r>
      <w:r>
        <w:rPr>
          <w:rFonts w:ascii="Times New Roman" w:hAnsi="Times New Roman"/>
          <w:b w:val="false"/>
          <w:i w:val="false"/>
          <w:color w:val="000000"/>
          <w:sz w:val="22"/>
        </w:rPr>
        <w:t>(2)“6.” In the alternative, insertion of the following unnumbered paragraph into a notice of termination satisfies this requirement. The provider of the financial assurance must also provide a copy of the notice of termination to the underground storage tank section of the department of natural resources. Failure to notify or timely provide a copy to the department will not invalidate a provider’s action to terminate coverage or deny renewal of coverage.</w:t>
      </w:r>
    </w:p>
    <w:p>
      <w:pPr>
        <w:spacing w:before="0" w:after="0"/>
        <w:ind w:left="120"/>
        <w:jc w:val="center"/>
      </w:pPr>
      <w:r>
        <w:rPr>
          <w:rFonts w:ascii="Times New Roman" w:hAnsi="Times New Roman"/>
          <w:b/>
          <w:i w:val="false"/>
          <w:color w:val="000000"/>
          <w:sz w:val="22"/>
        </w:rPr>
        <w:t>[IOWA DEPARTMENT OF NATURAL RESOURCES NOTICE</w:t>
      </w:r>
    </w:p>
    <w:p>
      <w:pPr>
        <w:spacing w:before="0" w:after="0"/>
        <w:ind w:left="120"/>
        <w:jc w:val="center"/>
      </w:pPr>
      <w:r>
        <w:rPr>
          <w:rFonts w:ascii="Times New Roman" w:hAnsi="Times New Roman"/>
          <w:b/>
          <w:i w:val="false"/>
          <w:color w:val="000000"/>
          <w:sz w:val="22"/>
        </w:rPr>
        <w:t>EXTENDED COVERAGE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department of natural resources rules require that all insured persons be afforded 180 days from the date of policy cancellation or nonrenewal to give notice of a release and make a claim for coverage under the terms and conditions of this policy. This means that, if you fail to give notice of a release and submit a claim as provided in this policy within 180 days of cancellation, you may be barred from making a claim for coverage under the terms of your policy, even if a release is later discovered and demonstrated to have occurred during the coverage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Termination of a local government guarantee, a guarantee, a surety bond, or a letter of credit may not occur until 120 days after the date on which the owner or operator receives the notice of termination,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of insurance or risk retention group coverage, except for nonpayment or misrepresentation by the insured, or state-funded assurance may not occur until 60 days after the date on which the owner or operator receives the notice of termination, as evidenced by the return receipt. Termination for nonpayment of premium or misrepresentation by the insured may not occur until a minimum of 10 days after the date on which the owner or operator receives the notice of termination, as evidenced by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136.18(2)</w:t>
      </w:r>
      <w:r>
        <w:rPr>
          <w:rFonts w:ascii="Times New Roman" w:hAnsi="Times New Roman"/>
          <w:b w:val="false"/>
          <w:i w:val="false"/>
          <w:color w:val="000000"/>
          <w:sz w:val="22"/>
        </w:rPr>
        <w:t> </w:t>
      </w:r>
      <w:r>
        <w:rPr>
          <w:rFonts w:ascii="Times New Roman" w:hAnsi="Times New Roman"/>
          <w:b w:val="false"/>
          <w:i w:val="false"/>
          <w:color w:val="000000"/>
          <w:sz w:val="22"/>
        </w:rPr>
        <w:t>If a provider of financial responsibility cancels or fails to renew for reasons other than incapacity of the provider as specified in rule 567—</w:t>
      </w:r>
      <w:hyperlink r:id="rId204">
        <w:r>
          <w:rPr>
            <w:rStyle w:val="Hyperlink"/>
            <w:rFonts w:ascii="Times New Roman" w:hAnsi="Times New Roman"/>
            <w:b w:val="false"/>
            <w:i w:val="false"/>
            <w:color w:val="000000"/>
            <w:sz w:val="22"/>
          </w:rPr>
          <w:t>136.23</w:t>
        </w:r>
      </w:hyperlink>
      <w:r>
        <w:rPr>
          <w:rFonts w:ascii="Times New Roman" w:hAnsi="Times New Roman"/>
          <w:b w:val="false"/>
          <w:i w:val="false"/>
          <w:color w:val="000000"/>
          <w:sz w:val="22"/>
        </w:rPr>
        <w:t xml:space="preserve">(455B), the owner or operator must obtain alternate coverage as specified in this chapter within 60 days after receipt of the notice of termination. If the owner or operator fails to obtain alternate coverage within 60 days after receipt of the notice of termination, the owner or operator must notify the director of the Iowa department of natural resources of such failure and submit the name and address of the provider of financial assurance; the effective date of termination; and the evidence of the financial assurance mechanism subject to the termination maintained in accordance with subrule </w:t>
      </w:r>
      <w:hyperlink r:id="rId205">
        <w:r>
          <w:rPr>
            <w:rStyle w:val="Hyperlink"/>
            <w:rFonts w:ascii="Times New Roman" w:hAnsi="Times New Roman"/>
            <w:b w:val="false"/>
            <w:i w:val="false"/>
            <w:color w:val="000000"/>
            <w:sz w:val="22"/>
          </w:rPr>
          <w:t>136.20(2)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567—136.19</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by owner or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136.19(1)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must submit the appropriate forms listed in subrule </w:t>
      </w:r>
      <w:hyperlink r:id="rId206">
        <w:r>
          <w:rPr>
            <w:rStyle w:val="Hyperlink"/>
            <w:rFonts w:ascii="Times New Roman" w:hAnsi="Times New Roman"/>
            <w:b w:val="false"/>
            <w:i w:val="false"/>
            <w:color w:val="000000"/>
            <w:sz w:val="22"/>
          </w:rPr>
          <w:t>136.20(2)</w:t>
        </w:r>
      </w:hyperlink>
      <w:r>
        <w:rPr>
          <w:rFonts w:ascii="Times New Roman" w:hAnsi="Times New Roman"/>
          <w:b w:val="false"/>
          <w:i w:val="false"/>
          <w:color w:val="000000"/>
          <w:sz w:val="22"/>
        </w:rPr>
        <w:t xml:space="preserve"> documenting current evidence of financial responsibility to the director of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the owner or operator identifies a release from an underground storage tank required to be reported under </w:t>
      </w:r>
      <w:hyperlink r:id="rId207">
        <w:r>
          <w:rPr>
            <w:rStyle w:val="Hyperlink"/>
            <w:rFonts w:ascii="Times New Roman" w:hAnsi="Times New Roman"/>
            <w:b w:val="false"/>
            <w:i w:val="false"/>
            <w:color w:val="000000"/>
            <w:sz w:val="22"/>
          </w:rPr>
          <w:t>567—subrule 135.6(4)</w:t>
        </w:r>
      </w:hyperlink>
      <w:r>
        <w:rPr>
          <w:rFonts w:ascii="Times New Roman" w:hAnsi="Times New Roman"/>
          <w:b w:val="false"/>
          <w:i w:val="false"/>
          <w:color w:val="000000"/>
          <w:sz w:val="22"/>
        </w:rPr>
        <w:t xml:space="preserve"> or </w:t>
      </w:r>
      <w:hyperlink r:id="rId208">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fails to obtain alternate coverage as required by this chapter, within 30 days after the owner or operator receives notice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Commencement of a voluntary or involuntary proceeding under Title 11 (Bankruptcy), U.S. Code, naming a provider of financial assurance as a debtor,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the authority of a provider of financial assurance to issue a financial assurance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of a guarantor to meet the requirements of the financial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incapacity of a provider of financial assurance;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subrules </w:t>
      </w:r>
      <w:hyperlink r:id="rId209">
        <w:r>
          <w:rPr>
            <w:rStyle w:val="Hyperlink"/>
            <w:rFonts w:ascii="Times New Roman" w:hAnsi="Times New Roman"/>
            <w:b w:val="false"/>
            <w:i w:val="false"/>
            <w:color w:val="000000"/>
            <w:sz w:val="22"/>
          </w:rPr>
          <w:t>136.6(7)</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136.18(2)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136.19(2)</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must certify compliance with the financial responsibility requirements of this chapter as specified in the new tank notification form when notifying the appropriate state or local agency of the installation of a new underground storage tank under </w:t>
      </w:r>
      <w:hyperlink r:id="rId211">
        <w:r>
          <w:rPr>
            <w:rStyle w:val="Hyperlink"/>
            <w:rFonts w:ascii="Times New Roman" w:hAnsi="Times New Roman"/>
            <w:b w:val="false"/>
            <w:i w:val="false"/>
            <w:color w:val="000000"/>
            <w:sz w:val="22"/>
          </w:rPr>
          <w:t>567—subrule 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require an owner or operator to submit evidence of financial assurance as described in </w:t>
      </w:r>
      <w:hyperlink r:id="rId212">
        <w:r>
          <w:rPr>
            <w:rStyle w:val="Hyperlink"/>
            <w:rFonts w:ascii="Times New Roman" w:hAnsi="Times New Roman"/>
            <w:b w:val="false"/>
            <w:i w:val="false"/>
            <w:color w:val="000000"/>
            <w:sz w:val="22"/>
          </w:rPr>
          <w:t>subrule 136.20(2)</w:t>
        </w:r>
      </w:hyperlink>
      <w:r>
        <w:rPr>
          <w:rFonts w:ascii="Times New Roman" w:hAnsi="Times New Roman"/>
          <w:b w:val="false"/>
          <w:i w:val="false"/>
          <w:color w:val="000000"/>
          <w:sz w:val="22"/>
        </w:rPr>
        <w:t xml:space="preserve"> or other information relevant to compliance with this chapter at any time.</w:t>
      </w:r>
    </w:p>
    <w:p>
      <w:pPr>
        <w:spacing w:before="0" w:after="0"/>
        <w:ind w:left="120"/>
        <w:jc w:val="both"/>
      </w:pPr>
      <w:r>
        <w:rPr>
          <w:rFonts w:ascii="Times New Roman" w:hAnsi="Times New Roman"/>
          <w:b/>
          <w:i w:val="false"/>
          <w:color w:val="000000"/>
          <w:sz w:val="22"/>
        </w:rPr>
        <w:t>567—136.20</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136.20(1)</w:t>
      </w:r>
      <w:r>
        <w:rPr>
          <w:rFonts w:ascii="Times New Roman" w:hAnsi="Times New Roman"/>
          <w:b w:val="false"/>
          <w:i w:val="false"/>
          <w:color w:val="000000"/>
          <w:sz w:val="22"/>
        </w:rPr>
        <w:t> </w:t>
      </w:r>
      <w:r>
        <w:rPr>
          <w:rFonts w:ascii="Times New Roman" w:hAnsi="Times New Roman"/>
          <w:b w:val="false"/>
          <w:i w:val="false"/>
          <w:color w:val="000000"/>
          <w:sz w:val="22"/>
        </w:rPr>
        <w:t>Owners or operators must maintain evidence of all financial assurance mechanisms used to demonstrate financial responsibility under this chapter for an underground storage tank until released from the requirements of this chapter under rule 567—</w:t>
      </w:r>
      <w:hyperlink r:id="rId213">
        <w:r>
          <w:rPr>
            <w:rStyle w:val="Hyperlink"/>
            <w:rFonts w:ascii="Times New Roman" w:hAnsi="Times New Roman"/>
            <w:b w:val="false"/>
            <w:i w:val="false"/>
            <w:color w:val="000000"/>
            <w:sz w:val="22"/>
          </w:rPr>
          <w:t>136.22</w:t>
        </w:r>
      </w:hyperlink>
      <w:r>
        <w:rPr>
          <w:rFonts w:ascii="Times New Roman" w:hAnsi="Times New Roman"/>
          <w:b w:val="false"/>
          <w:i w:val="false"/>
          <w:color w:val="000000"/>
          <w:sz w:val="22"/>
        </w:rPr>
        <w:t>(455B). An owner or operator must maintain such evidence at the underground storage tank site or the owner’s or operator’s place of work. Records maintained offsite must be made available upon request of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136.20(2)</w:t>
      </w:r>
      <w:r>
        <w:rPr>
          <w:rFonts w:ascii="Times New Roman" w:hAnsi="Times New Roman"/>
          <w:b w:val="false"/>
          <w:i w:val="false"/>
          <w:color w:val="000000"/>
          <w:sz w:val="22"/>
        </w:rPr>
        <w:t> </w:t>
      </w:r>
      <w:r>
        <w:rPr>
          <w:rFonts w:ascii="Times New Roman" w:hAnsi="Times New Roman"/>
          <w:b w:val="false"/>
          <w:i w:val="false"/>
          <w:color w:val="000000"/>
          <w:sz w:val="22"/>
        </w:rPr>
        <w:t>An owner or operator must maintain the following types of evidence of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an assurance mechanism specified in rules 567—</w:t>
      </w:r>
      <w:hyperlink r:id="rId214">
        <w:r>
          <w:rPr>
            <w:rStyle w:val="Hyperlink"/>
            <w:rFonts w:ascii="Times New Roman" w:hAnsi="Times New Roman"/>
            <w:b w:val="false"/>
            <w:i w:val="false"/>
            <w:color w:val="000000"/>
            <w:sz w:val="22"/>
          </w:rPr>
          <w:t>136.6</w:t>
        </w:r>
      </w:hyperlink>
      <w:r>
        <w:rPr>
          <w:rFonts w:ascii="Times New Roman" w:hAnsi="Times New Roman"/>
          <w:b w:val="false"/>
          <w:i w:val="false"/>
          <w:color w:val="000000"/>
          <w:sz w:val="22"/>
        </w:rPr>
        <w:t>(455B) to 567—</w:t>
      </w:r>
      <w:hyperlink r:id="rId215">
        <w:r>
          <w:rPr>
            <w:rStyle w:val="Hyperlink"/>
            <w:rFonts w:ascii="Times New Roman" w:hAnsi="Times New Roman"/>
            <w:b w:val="false"/>
            <w:i w:val="false"/>
            <w:color w:val="000000"/>
            <w:sz w:val="22"/>
          </w:rPr>
          <w:t>136.11</w:t>
        </w:r>
      </w:hyperlink>
      <w:r>
        <w:rPr>
          <w:rFonts w:ascii="Times New Roman" w:hAnsi="Times New Roman"/>
          <w:b w:val="false"/>
          <w:i w:val="false"/>
          <w:color w:val="000000"/>
          <w:sz w:val="22"/>
        </w:rPr>
        <w:t>(455B) or rules 567—</w:t>
      </w:r>
      <w:hyperlink r:id="rId216">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(455B) to 567—</w:t>
      </w:r>
      <w:hyperlink r:id="rId217">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must maintain a copy of the instrument worded as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 financial test or guarantee, or a local government financial test or a local government guarantee supported by the local government financial test must maintain a copy of the chief financial officer’s letter based on year-end financial statements for the most recent completed financial reporting year. Such evidence must be on file no later than 120 days after the close of the financial reporting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 guarantee, surety bond, or letter of credit must maintain a copy of the signed standby trust fund agreement and copies of any amendments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government owner or operator using a local government guarantee under subrule </w:t>
      </w:r>
      <w:hyperlink r:id="rId218">
        <w:r>
          <w:rPr>
            <w:rStyle w:val="Hyperlink"/>
            <w:rFonts w:ascii="Times New Roman" w:hAnsi="Times New Roman"/>
            <w:b w:val="false"/>
            <w:i w:val="false"/>
            <w:color w:val="000000"/>
            <w:sz w:val="22"/>
          </w:rPr>
          <w:t>136.15(4)</w:t>
        </w:r>
      </w:hyperlink>
      <w:r>
        <w:rPr>
          <w:rFonts w:ascii="Times New Roman" w:hAnsi="Times New Roman"/>
          <w:b w:val="false"/>
          <w:i w:val="false"/>
          <w:color w:val="000000"/>
          <w:sz w:val="22"/>
        </w:rPr>
        <w:t xml:space="preserve"> must maintain a copy of the signed standby trust fund agreement and copies of any amendments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using the local government bond rating test under rule 567—</w:t>
      </w:r>
      <w:hyperlink r:id="rId219">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(455B) must maintain a copy of its bond rating published within the last 12 months by Moody’s or Standard &amp; Poor’s.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using the local government guarantee under rule 567—</w:t>
      </w:r>
      <w:hyperlink r:id="rId220">
        <w:r>
          <w:rPr>
            <w:rStyle w:val="Hyperlink"/>
            <w:rFonts w:ascii="Times New Roman" w:hAnsi="Times New Roman"/>
            <w:b w:val="false"/>
            <w:i w:val="false"/>
            <w:color w:val="000000"/>
            <w:sz w:val="22"/>
          </w:rPr>
          <w:t>136.15</w:t>
        </w:r>
      </w:hyperlink>
      <w:r>
        <w:rPr>
          <w:rFonts w:ascii="Times New Roman" w:hAnsi="Times New Roman"/>
          <w:b w:val="false"/>
          <w:i w:val="false"/>
          <w:color w:val="000000"/>
          <w:sz w:val="22"/>
        </w:rPr>
        <w:t>(455B), where the guarantor’s demonstration of financial responsibility relies on the bond rating test under rule 567—</w:t>
      </w:r>
      <w:hyperlink r:id="rId221">
        <w:r>
          <w:rPr>
            <w:rStyle w:val="Hyperlink"/>
            <w:rFonts w:ascii="Times New Roman" w:hAnsi="Times New Roman"/>
            <w:b w:val="false"/>
            <w:i w:val="false"/>
            <w:color w:val="000000"/>
            <w:sz w:val="22"/>
          </w:rPr>
          <w:t>136.13</w:t>
        </w:r>
      </w:hyperlink>
      <w:r>
        <w:rPr>
          <w:rFonts w:ascii="Times New Roman" w:hAnsi="Times New Roman"/>
          <w:b w:val="false"/>
          <w:i w:val="false"/>
          <w:color w:val="000000"/>
          <w:sz w:val="22"/>
        </w:rPr>
        <w:t>(455B), must maintain a copy of the guarantor’s bond rating published within the last 12 months by Moody’s or Standard &amp; Poor’s.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an insurance policy or risk retention group coverage must maintain a copy of the signed insurance policy or risk retention group coverage policy, with the endorsement or certificate of insurance and any amendments to the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 local government fund under rule 567—</w:t>
      </w:r>
      <w:hyperlink r:id="rId222">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must maintain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 constitutional provision or local government statute, charter, ordinance, or order dedicating the fund,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Year-end financial statements for the most recent completed financial reporting year showing the amount in the fund. If the fund is established under subrule </w:t>
      </w:r>
      <w:hyperlink r:id="rId223">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using incremental funding backed by bonding authority, the financial statements must show the previous year’s balance, the amount of funding during the year, and the closing balance in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fund is established under subrule </w:t>
      </w:r>
      <w:hyperlink r:id="rId224">
        <w:r>
          <w:rPr>
            <w:rStyle w:val="Hyperlink"/>
            <w:rFonts w:ascii="Times New Roman" w:hAnsi="Times New Roman"/>
            <w:b w:val="false"/>
            <w:i w:val="false"/>
            <w:color w:val="000000"/>
            <w:sz w:val="22"/>
          </w:rPr>
          <w:t>136.16(3)</w:t>
        </w:r>
      </w:hyperlink>
      <w:r>
        <w:rPr>
          <w:rFonts w:ascii="Times New Roman" w:hAnsi="Times New Roman"/>
          <w:b w:val="false"/>
          <w:i w:val="false"/>
          <w:color w:val="000000"/>
          <w:sz w:val="22"/>
        </w:rPr>
        <w:t xml:space="preserve"> using incremental funding backed by bonding authority, the owner or operator must also maintain documentation of the required bonding authority, including either the results of a voter referendum (under paragraph </w:t>
      </w:r>
      <w:hyperlink r:id="rId225">
        <w:r>
          <w:rPr>
            <w:rStyle w:val="Hyperlink"/>
            <w:rFonts w:ascii="Times New Roman" w:hAnsi="Times New Roman"/>
            <w:b w:val="false"/>
            <w:i w:val="false"/>
            <w:color w:val="000000"/>
            <w:sz w:val="22"/>
          </w:rPr>
          <w:t>136.16(3)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attested by the state attorney general as specified under paragraph </w:t>
      </w:r>
      <w:hyperlink r:id="rId226">
        <w:r>
          <w:rPr>
            <w:rStyle w:val="Hyperlink"/>
            <w:rFonts w:ascii="Times New Roman" w:hAnsi="Times New Roman"/>
            <w:b w:val="false"/>
            <w:i w:val="false"/>
            <w:color w:val="000000"/>
            <w:sz w:val="22"/>
          </w:rPr>
          <w:t>136.16(3)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local government owner or operator using the local government guarantee supported by the local government fund must maintain a copy of the guarantor’s year-end financial statements for the most recent completed financial reporting year showing the amount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an assurance mechanism specified in rules 567—</w:t>
      </w:r>
      <w:hyperlink r:id="rId227">
        <w:r>
          <w:rPr>
            <w:rStyle w:val="Hyperlink"/>
            <w:rFonts w:ascii="Times New Roman" w:hAnsi="Times New Roman"/>
            <w:b w:val="false"/>
            <w:i w:val="false"/>
            <w:color w:val="000000"/>
            <w:sz w:val="22"/>
          </w:rPr>
          <w:t>136.6</w:t>
        </w:r>
      </w:hyperlink>
      <w:r>
        <w:rPr>
          <w:rFonts w:ascii="Times New Roman" w:hAnsi="Times New Roman"/>
          <w:b w:val="false"/>
          <w:i w:val="false"/>
          <w:color w:val="000000"/>
          <w:sz w:val="22"/>
        </w:rPr>
        <w:t>(455B) through 567—</w:t>
      </w:r>
      <w:hyperlink r:id="rId228">
        <w:r>
          <w:rPr>
            <w:rStyle w:val="Hyperlink"/>
            <w:rFonts w:ascii="Times New Roman" w:hAnsi="Times New Roman"/>
            <w:b w:val="false"/>
            <w:i w:val="false"/>
            <w:color w:val="000000"/>
            <w:sz w:val="22"/>
          </w:rPr>
          <w:t>136.16</w:t>
        </w:r>
      </w:hyperlink>
      <w:r>
        <w:rPr>
          <w:rFonts w:ascii="Times New Roman" w:hAnsi="Times New Roman"/>
          <w:b w:val="false"/>
          <w:i w:val="false"/>
          <w:color w:val="000000"/>
          <w:sz w:val="22"/>
        </w:rPr>
        <w:t>(455B) must maintain an updated copy of a certification of financial responsibility worded as follows, except that instructions in brackets are to be replaced with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Certification of Financial Responsibility</w:t>
      </w:r>
    </w:p>
    <w:p>
      <w:pPr>
        <w:spacing w:before="0" w:after="0"/>
        <w:ind w:left="120"/>
        <w:jc w:val="both"/>
      </w:pPr>
      <w:r>
        <w:rPr>
          <w:rFonts w:ascii="Times New Roman" w:hAnsi="Times New Roman"/>
          <w:b w:val="false"/>
          <w:i w:val="false"/>
          <w:color w:val="000000"/>
          <w:sz w:val="22"/>
        </w:rPr>
        <w:t xml:space="preserve">[Owner or operator] hereby certifies that it is in compliance with the requirements of </w:t>
      </w:r>
      <w:hyperlink r:id="rId22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of the Iowa Administrative Code (IAC).</w:t>
      </w:r>
    </w:p>
    <w:p>
      <w:pPr>
        <w:spacing w:before="0" w:after="0"/>
        <w:ind w:left="120"/>
        <w:jc w:val="both"/>
      </w:pPr>
      <w:r>
        <w:rPr>
          <w:rFonts w:ascii="Times New Roman" w:hAnsi="Times New Roman"/>
          <w:b w:val="false"/>
          <w:i w:val="false"/>
          <w:color w:val="000000"/>
          <w:sz w:val="22"/>
        </w:rPr>
        <w:t xml:space="preserve">The financial assurance mechanism(s) used to demonstrate financial responsibility under </w:t>
      </w:r>
      <w:hyperlink r:id="rId23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IAC is (are) as follows:</w:t>
      </w:r>
    </w:p>
    <w:p>
      <w:pPr>
        <w:spacing w:before="0" w:after="0"/>
        <w:ind w:left="120"/>
        <w:jc w:val="both"/>
      </w:pPr>
      <w:r>
        <w:rPr>
          <w:rFonts w:ascii="Times New Roman" w:hAnsi="Times New Roman"/>
          <w:b w:val="false"/>
          <w:i w:val="false"/>
          <w:color w:val="000000"/>
          <w:sz w:val="22"/>
        </w:rPr>
        <w:t>[For each mechanism, list the type of mechanism, name of issuer, mechanism number, if applicable, amount of coverage, effective period of coverage and whether the mechanism covers “taking corrective action” and/or “compensating third parties for bodily injury and property damage caused by” either “sudden accidental releases” or “nonsudden accidental releases” or “accidental releases”.]</w:t>
      </w:r>
    </w:p>
    <w:p>
      <w:pPr>
        <w:spacing w:before="0" w:after="0"/>
        <w:ind w:left="120"/>
        <w:jc w:val="both"/>
      </w:pPr>
      <w:r>
        <w:rPr>
          <w:rFonts w:ascii="Times New Roman" w:hAnsi="Times New Roman"/>
          <w:b w:val="false"/>
          <w:i w:val="false"/>
          <w:color w:val="000000"/>
          <w:sz w:val="22"/>
        </w:rPr>
        <w:t>[Signature of owner or operator]</w:t>
      </w:r>
    </w:p>
    <w:p>
      <w:pPr>
        <w:spacing w:before="0" w:after="0"/>
        <w:ind w:left="120"/>
        <w:jc w:val="both"/>
      </w:pPr>
      <w:r>
        <w:rPr>
          <w:rFonts w:ascii="Times New Roman" w:hAnsi="Times New Roman"/>
          <w:b w:val="false"/>
          <w:i w:val="false"/>
          <w:color w:val="000000"/>
          <w:sz w:val="22"/>
        </w:rPr>
        <w:t>[Name of owner or operator]</w:t>
      </w:r>
    </w:p>
    <w:p>
      <w:pPr>
        <w:spacing w:before="0" w:after="0"/>
        <w:ind w:left="120"/>
        <w:jc w:val="both"/>
      </w:pPr>
      <w:r>
        <w:rPr>
          <w:rFonts w:ascii="Times New Roman" w:hAnsi="Times New Roman"/>
          <w:b w:val="false"/>
          <w:i w:val="false"/>
          <w:color w:val="000000"/>
          <w:sz w:val="22"/>
        </w:rPr>
        <w:t>[Title]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[Signature of witness or notary]</w:t>
      </w:r>
    </w:p>
    <w:p>
      <w:pPr>
        <w:spacing w:before="0" w:after="0"/>
        <w:ind w:left="120"/>
        <w:jc w:val="both"/>
      </w:pPr>
      <w:r>
        <w:rPr>
          <w:rFonts w:ascii="Times New Roman" w:hAnsi="Times New Roman"/>
          <w:b w:val="false"/>
          <w:i w:val="false"/>
          <w:color w:val="000000"/>
          <w:sz w:val="22"/>
        </w:rPr>
        <w:t>[Name of witness or notary]</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The owner or operator must update this certification whenever the financial assurance mechanism(s) used to demonstrate financial responsibility change(s).</w:t>
      </w:r>
    </w:p>
    <w:p>
      <w:pPr>
        <w:spacing w:before="0" w:after="0"/>
        <w:ind w:left="120"/>
        <w:jc w:val="both"/>
      </w:pPr>
      <w:r>
        <w:rPr>
          <w:rFonts w:ascii="Times New Roman" w:hAnsi="Times New Roman"/>
          <w:b/>
          <w:i w:val="false"/>
          <w:color w:val="000000"/>
          <w:sz w:val="22"/>
        </w:rPr>
        <w:t>567—136.21</w:t>
      </w:r>
      <w:r>
        <w:rPr>
          <w:rFonts w:ascii="Times New Roman" w:hAnsi="Times New Roman"/>
          <w:b/>
          <w:i w:val="false"/>
          <w:color w:val="000000"/>
          <w:sz w:val="22"/>
        </w:rPr>
        <w:t xml:space="preserve">(455B) </w:t>
      </w:r>
      <w:r>
        <w:rPr>
          <w:rFonts w:ascii="Times New Roman" w:hAnsi="Times New Roman"/>
          <w:b/>
          <w:i w:val="false"/>
          <w:color w:val="000000"/>
          <w:sz w:val="22"/>
        </w:rPr>
        <w:t xml:space="preserve">Drawing on financial assurance mechanisms.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136.21(1)</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natural resources shall require the guarantor, surety, or institution issuing a letter of credit to place the amount of funds stipulated by the director, up to the limit of funds provided by the financial assurance mechanism, into the standby trust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fails to establish alternate financial assurance within 60 days after receiving notice of cancellation of the guarantee, surety bond, letter of credit, or, as applicable, other financial assurance mechanism; and</w:t>
      </w:r>
    </w:p>
    <w:p>
      <w:pPr>
        <w:spacing w:before="0" w:after="0"/>
        <w:ind w:left="120"/>
        <w:jc w:val="both"/>
      </w:pPr>
      <w:r>
        <w:rPr>
          <w:rFonts w:ascii="Times New Roman" w:hAnsi="Times New Roman"/>
          <w:b w:val="false"/>
          <w:i w:val="false"/>
          <w:color w:val="000000"/>
          <w:sz w:val="22"/>
        </w:rPr>
        <w:t>The director determines or suspects that a release from an underground storage tank covered by the mechanism has occurred and so notifies the owner or operator or the owner or operator has notified the director pursuant to rule 567—</w:t>
      </w:r>
      <w:hyperlink r:id="rId231">
        <w:r>
          <w:rPr>
            <w:rStyle w:val="Hyperlink"/>
            <w:rFonts w:ascii="Times New Roman" w:hAnsi="Times New Roman"/>
            <w:b w:val="false"/>
            <w:i w:val="false"/>
            <w:color w:val="000000"/>
            <w:sz w:val="22"/>
          </w:rPr>
          <w:t>135.6</w:t>
        </w:r>
      </w:hyperlink>
      <w:r>
        <w:rPr>
          <w:rFonts w:ascii="Times New Roman" w:hAnsi="Times New Roman"/>
          <w:b w:val="false"/>
          <w:i w:val="false"/>
          <w:color w:val="000000"/>
          <w:sz w:val="22"/>
        </w:rPr>
        <w:t>(455B) or 567—</w:t>
      </w:r>
      <w:hyperlink r:id="rId232">
        <w:r>
          <w:rPr>
            <w:rStyle w:val="Hyperlink"/>
            <w:rFonts w:ascii="Times New Roman" w:hAnsi="Times New Roman"/>
            <w:b w:val="false"/>
            <w:i w:val="false"/>
            <w:color w:val="000000"/>
            <w:sz w:val="22"/>
          </w:rPr>
          <w:t>135.7</w:t>
        </w:r>
      </w:hyperlink>
      <w:r>
        <w:rPr>
          <w:rFonts w:ascii="Times New Roman" w:hAnsi="Times New Roman"/>
          <w:b w:val="false"/>
          <w:i w:val="false"/>
          <w:color w:val="000000"/>
          <w:sz w:val="22"/>
        </w:rPr>
        <w:t>(455B) of a release from an underground storage tank covered by the mechanism;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conditions of paragraph </w:t>
      </w:r>
      <w:hyperlink r:id="rId233">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subparagraph </w:t>
      </w:r>
      <w:hyperlink r:id="rId234">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35">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“b”</w:t>
      </w:r>
      <w:r>
        <w:rPr>
          <w:rFonts w:ascii="Times New Roman" w:hAnsi="Times New Roman"/>
          <w:b w:val="false"/>
          <w:i w:val="false"/>
          <w:color w:val="000000"/>
          <w:sz w:val="22"/>
        </w:rPr>
        <w:t>(2)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136.21(2)</w:t>
      </w:r>
      <w:r>
        <w:rPr>
          <w:rFonts w:ascii="Times New Roman" w:hAnsi="Times New Roman"/>
          <w:b w:val="false"/>
          <w:i w:val="false"/>
          <w:color w:val="000000"/>
          <w:sz w:val="22"/>
        </w:rPr>
        <w:t> </w:t>
      </w:r>
      <w:r>
        <w:rPr>
          <w:rFonts w:ascii="Times New Roman" w:hAnsi="Times New Roman"/>
          <w:b w:val="false"/>
          <w:i w:val="false"/>
          <w:color w:val="000000"/>
          <w:sz w:val="22"/>
        </w:rPr>
        <w:t>The director of the Iowa department of natural resources may draw on a standby trust fund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makes a final determination that a release has occurred and immediate or long-term corrective action for the release is needed, and the owner or operator, after appropriate notice and opportunity to comply, has not conducted corrective action as required under rule </w:t>
      </w:r>
      <w:hyperlink r:id="rId236">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(455B);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has received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owner or operator and the third-party liability claimant(s) and from attorneys representing the owner or operator and the third-party liability claimant(s) that a third-party liability claim should be paid. The certification must be worded as follows, except that instructions in brackets are to be replaced with the relevant information and the brackets deleted: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CERTIFICATION OF VALID CLAIM</w:t>
      </w:r>
    </w:p>
    <w:p>
      <w:pPr>
        <w:spacing w:before="0" w:after="0"/>
        <w:ind w:left="356"/>
        <w:jc w:val="both"/>
      </w:pPr>
      <w:r>
        <w:rPr>
          <w:rFonts w:ascii="Times New Roman" w:hAnsi="Times New Roman"/>
          <w:b w:val="false"/>
          <w:i w:val="false"/>
          <w:color w:val="000000"/>
          <w:sz w:val="22"/>
        </w:rPr>
        <w:t>The undersigned, as principals and as legal representatives of [insert owner or operator] and [insert name and address of third-party claimant], hereby certify that the claim of bodily injury [and/or] property damage caused by an accidental release arising from operating [owner’s or operator’s] underground storage tank should be paid in the amount of $[ _________ ].</w:t>
      </w:r>
    </w:p>
    <w:tbl>
      <w:tblPr>
        <w:tblW w:w="5000" w:type="pct"/>
        <w:tblCellSpacing w:w="0" w:type="auto"/>
        <w:tblBorders>
          <w:top w:val="none"/>
          <w:left w:val="none"/>
          <w:bottom w:val="none"/>
          <w:right w:val="none"/>
          <w:insideH w:val="none"/>
          <w:insideV w:val="none"/>
        </w:tblBorders>
        <w:tblLayout w:type="fixed"/>
      </w:tblPr>
      <w:tblGrid>
        <w:gridCol w:w="1358"/>
        <w:gridCol w:w="4238"/>
        <w:gridCol w:w="4237"/>
        <w:gridCol w:w="1357"/>
      </w:tblGrid>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[Signatures]</w:t>
            </w:r>
          </w:p>
        </w:tc>
        <w:tc>
          <w:tcPr>
            <w:tcW w:w="42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Owner or Operator</w:t>
            </w:r>
          </w:p>
        </w:tc>
        <w:tc>
          <w:tcPr>
            <w:tcW w:w="42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Claimant(s)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Attorney for</w:t>
            </w:r>
          </w:p>
        </w:tc>
        <w:tc>
          <w:tcPr>
            <w:tcW w:w="42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Attorney(s) for</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Owner or Operator</w:t>
            </w:r>
          </w:p>
        </w:tc>
        <w:tc>
          <w:tcPr>
            <w:tcW w:w="42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Claimant(s)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27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(Notary)</w:t>
            </w:r>
          </w:p>
        </w:tc>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(Notary)</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final court order establishing a judgment against the owner or operator for bodily injury or property damage caused by an accidental release from an underground storage tank covered by financial assurance under this chapter and the director determines that the owner or operator has not satisfied the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of the department of natural resources determines that the amount of corrective action costs and third-party liability claims eligible for payment under paragraph </w:t>
      </w:r>
      <w:hyperlink r:id="rId237">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exceed the balance of the standby trust fund and the obligation of the provider of financial assurance, the first priority for payment shall be corrective action costs necessary to protect human health and the environment. The director shall pay third-party liability claims in the order in which the director receives certifications under subparagraph </w:t>
      </w:r>
      <w:hyperlink r:id="rId238">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valid court orders under subparagraph </w:t>
      </w:r>
      <w:hyperlink r:id="rId239">
        <w:r>
          <w:rPr>
            <w:rStyle w:val="Hyperlink"/>
            <w:rFonts w:ascii="Times New Roman" w:hAnsi="Times New Roman"/>
            <w:b w:val="false"/>
            <w:i w:val="false"/>
            <w:color w:val="000000"/>
            <w:sz w:val="22"/>
          </w:rPr>
          <w:t>136.21(2)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136.21(4)</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entity acting as guarantor under subrule </w:t>
      </w:r>
      <w:hyperlink r:id="rId240">
        <w:r>
          <w:rPr>
            <w:rStyle w:val="Hyperlink"/>
            <w:rFonts w:ascii="Times New Roman" w:hAnsi="Times New Roman"/>
            <w:b w:val="false"/>
            <w:i w:val="false"/>
            <w:color w:val="000000"/>
            <w:sz w:val="22"/>
          </w:rPr>
          <w:t>136.15(5)</w:t>
        </w:r>
      </w:hyperlink>
      <w:r>
        <w:rPr>
          <w:rFonts w:ascii="Times New Roman" w:hAnsi="Times New Roman"/>
          <w:b w:val="false"/>
          <w:i w:val="false"/>
          <w:color w:val="000000"/>
          <w:sz w:val="22"/>
        </w:rPr>
        <w:t xml:space="preserve">, the local government guarantee without standby trust, shall make payments as directed by the director under the circumstances described in subrule </w:t>
      </w:r>
      <w:hyperlink r:id="rId241">
        <w:r>
          <w:rPr>
            <w:rStyle w:val="Hyperlink"/>
            <w:rFonts w:ascii="Times New Roman" w:hAnsi="Times New Roman"/>
            <w:b w:val="false"/>
            <w:i w:val="false"/>
            <w:color w:val="000000"/>
            <w:sz w:val="22"/>
          </w:rPr>
          <w:t>136.21(1)</w:t>
        </w:r>
      </w:hyperlink>
      <w:r>
        <w:rPr>
          <w:rFonts w:ascii="Times New Roman" w:hAnsi="Times New Roman"/>
          <w:b w:val="false"/>
          <w:i w:val="false"/>
          <w:color w:val="000000"/>
          <w:sz w:val="22"/>
        </w:rPr>
        <w:t xml:space="preserve">, </w:t>
      </w:r>
      <w:hyperlink r:id="rId242">
        <w:r>
          <w:rPr>
            <w:rStyle w:val="Hyperlink"/>
            <w:rFonts w:ascii="Times New Roman" w:hAnsi="Times New Roman"/>
            <w:b w:val="false"/>
            <w:i w:val="false"/>
            <w:color w:val="000000"/>
            <w:sz w:val="22"/>
          </w:rPr>
          <w:t>136.21(2)</w:t>
        </w:r>
      </w:hyperlink>
      <w:r>
        <w:rPr>
          <w:rFonts w:ascii="Times New Roman" w:hAnsi="Times New Roman"/>
          <w:b w:val="false"/>
          <w:i w:val="false"/>
          <w:color w:val="000000"/>
          <w:sz w:val="22"/>
        </w:rPr>
        <w:t xml:space="preserve">, or </w:t>
      </w:r>
      <w:hyperlink r:id="rId243">
        <w:r>
          <w:rPr>
            <w:rStyle w:val="Hyperlink"/>
            <w:rFonts w:ascii="Times New Roman" w:hAnsi="Times New Roman"/>
            <w:b w:val="false"/>
            <w:i w:val="false"/>
            <w:color w:val="000000"/>
            <w:sz w:val="22"/>
          </w:rPr>
          <w:t>136.21(3)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567—136.22</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from the requirements. </w:t>
      </w:r>
      <w:r>
        <w:rPr>
          <w:rFonts w:ascii="Times New Roman" w:hAnsi="Times New Roman"/>
          <w:b w:val="false"/>
          <w:i w:val="false"/>
          <w:color w:val="000000"/>
          <w:sz w:val="22"/>
        </w:rPr>
        <w:t xml:space="preserve">An owner or operator is no longer required to maintain financial responsibility under this chapter for an underground storage tank after the tank has been permanently closed or undergoes a change-in-service or, if corrective action is required, after corrective action has been completed and the tank has been permanently closed or undergoes a change-in-service as required by rule </w:t>
      </w:r>
      <w:hyperlink r:id="rId244">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567—136.23</w:t>
      </w:r>
      <w:r>
        <w:rPr>
          <w:rFonts w:ascii="Times New Roman" w:hAnsi="Times New Roman"/>
          <w:b/>
          <w:i w:val="false"/>
          <w:color w:val="000000"/>
          <w:sz w:val="22"/>
        </w:rPr>
        <w:t xml:space="preserve">(455B) </w:t>
      </w:r>
      <w:r>
        <w:rPr>
          <w:rFonts w:ascii="Times New Roman" w:hAnsi="Times New Roman"/>
          <w:b/>
          <w:i w:val="false"/>
          <w:color w:val="000000"/>
          <w:sz w:val="22"/>
        </w:rPr>
        <w:t xml:space="preserve">Bankruptcy or other incapacity of owner or operator or provider of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days after commencement of a voluntary or involuntary proceeding under Title 11 (Bankruptcy), U.S. Code, naming an owner or operator as debtor, the owner or operator must notify the director of the Iowa department of natural resources by certified mail of such commencement and submit the appropriate forms listed in subrule </w:t>
      </w:r>
      <w:hyperlink r:id="rId245">
        <w:r>
          <w:rPr>
            <w:rStyle w:val="Hyperlink"/>
            <w:rFonts w:ascii="Times New Roman" w:hAnsi="Times New Roman"/>
            <w:b w:val="false"/>
            <w:i w:val="false"/>
            <w:color w:val="000000"/>
            <w:sz w:val="22"/>
          </w:rPr>
          <w:t>136.20(2)</w:t>
        </w:r>
      </w:hyperlink>
      <w:r>
        <w:rPr>
          <w:rFonts w:ascii="Times New Roman" w:hAnsi="Times New Roman"/>
          <w:b w:val="false"/>
          <w:i w:val="false"/>
          <w:color w:val="000000"/>
          <w:sz w:val="22"/>
        </w:rPr>
        <w:t xml:space="preserve"> documenting current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136.23(2)</w:t>
      </w:r>
      <w:r>
        <w:rPr>
          <w:rFonts w:ascii="Times New Roman" w:hAnsi="Times New Roman"/>
          <w:b w:val="false"/>
          <w:i w:val="false"/>
          <w:color w:val="000000"/>
          <w:sz w:val="22"/>
        </w:rPr>
        <w:t> </w:t>
      </w:r>
      <w:r>
        <w:rPr>
          <w:rFonts w:ascii="Times New Roman" w:hAnsi="Times New Roman"/>
          <w:b w:val="false"/>
          <w:i w:val="false"/>
          <w:color w:val="000000"/>
          <w:sz w:val="22"/>
        </w:rPr>
        <w:t>Within ten days after commencement of a voluntary or involuntary proceeding under Title 11 (Bankruptcy), U.S. Code, naming a guarantor providing financial assurance as debtor, such guarantor must notify the owner or operator by certified mail of such commencement as required under the terms of the guarantee specified in rule 567—</w:t>
      </w:r>
      <w:hyperlink r:id="rId246">
        <w:r>
          <w:rPr>
            <w:rStyle w:val="Hyperlink"/>
            <w:rFonts w:ascii="Times New Roman" w:hAnsi="Times New Roman"/>
            <w:b w:val="false"/>
            <w:i w:val="false"/>
            <w:color w:val="000000"/>
            <w:sz w:val="22"/>
          </w:rPr>
          <w:t>136.7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days after commencement of a voluntary or involuntary proceeding under Title 11 (Bankruptcy), U.S. Code, naming a local government owner or operator as debtor, the local government owner or operator must notify the director of the Iowa department of natural resources by certified mail of such commencement and submit the appropriate forms listed in subrule </w:t>
      </w:r>
      <w:hyperlink r:id="rId247">
        <w:r>
          <w:rPr>
            <w:rStyle w:val="Hyperlink"/>
            <w:rFonts w:ascii="Times New Roman" w:hAnsi="Times New Roman"/>
            <w:b w:val="false"/>
            <w:i w:val="false"/>
            <w:color w:val="000000"/>
            <w:sz w:val="22"/>
          </w:rPr>
          <w:t>136.20(2)</w:t>
        </w:r>
      </w:hyperlink>
      <w:r>
        <w:rPr>
          <w:rFonts w:ascii="Times New Roman" w:hAnsi="Times New Roman"/>
          <w:b w:val="false"/>
          <w:i w:val="false"/>
          <w:color w:val="000000"/>
          <w:sz w:val="22"/>
        </w:rPr>
        <w:t xml:space="preserve"> documenting current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136.23(4)</w:t>
      </w:r>
      <w:r>
        <w:rPr>
          <w:rFonts w:ascii="Times New Roman" w:hAnsi="Times New Roman"/>
          <w:b w:val="false"/>
          <w:i w:val="false"/>
          <w:color w:val="000000"/>
          <w:sz w:val="22"/>
        </w:rPr>
        <w:t> </w:t>
      </w:r>
      <w:r>
        <w:rPr>
          <w:rFonts w:ascii="Times New Roman" w:hAnsi="Times New Roman"/>
          <w:b w:val="false"/>
          <w:i w:val="false"/>
          <w:color w:val="000000"/>
          <w:sz w:val="22"/>
        </w:rPr>
        <w:t>Within ten days after commencement of a voluntary or involuntary proceeding under Title 11 (Bankruptcy), U.S. Code, naming a guarantor providing a local government financial assurance as debtor, such guarantor must notify the local government owner or operator by certified mail of such commencement as required under the terms of the guarantee specified in rule 567—</w:t>
      </w:r>
      <w:hyperlink r:id="rId248">
        <w:r>
          <w:rPr>
            <w:rStyle w:val="Hyperlink"/>
            <w:rFonts w:ascii="Times New Roman" w:hAnsi="Times New Roman"/>
            <w:b w:val="false"/>
            <w:i w:val="false"/>
            <w:color w:val="000000"/>
            <w:sz w:val="22"/>
          </w:rPr>
          <w:t>136.15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136.23(5)</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obtains financial assurance by a mechanism other than the financial test of self-insurance will be deemed to be without the required financial assurance in the event of a bankruptcy or incapacity of its provider of financial assurance, or a suspension or revocation of the authority of the provider of financial assurance to issue a guarantee, insurance policy, risk retention group coverage policy, surety bond, letter of credit, or state-required mechanism. The owner or operator must obtain alternate financial assurance as specified in this chapter within 30 days after receiving notice of such an event. If the owner or operator does not obtain alternate coverage within 30 days after such notification, the owner or operator must notify the director of the Iowa department of natural resources within 10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4/17/02</w:t>
      </w:r>
      <w:r>
        <w:rPr>
          <w:rFonts w:ascii="Times New Roman" w:hAnsi="Times New Roman"/>
          <w:b w:val="false"/>
          <w:i w:val="false"/>
          <w:color w:val="000000"/>
          <w:sz w:val="22"/>
        </w:rPr>
        <w:t>, effective 5/22/02.</w:t>
      </w:r>
    </w:p>
    <w:p>
      <w:pPr>
        <w:spacing w:before="0" w:after="0"/>
        <w:ind w:left="120"/>
        <w:jc w:val="both"/>
      </w:pPr>
      <w:r>
        <w:rPr>
          <w:rFonts w:ascii="Times New Roman" w:hAnsi="Times New Roman"/>
          <w:b/>
          <w:i w:val="false"/>
          <w:color w:val="000000"/>
          <w:sz w:val="22"/>
        </w:rPr>
        <w:t>567—136.24</w:t>
      </w:r>
      <w:r>
        <w:rPr>
          <w:rFonts w:ascii="Times New Roman" w:hAnsi="Times New Roman"/>
          <w:b/>
          <w:i w:val="false"/>
          <w:color w:val="000000"/>
          <w:sz w:val="22"/>
        </w:rPr>
        <w:t xml:space="preserve">(455B) </w:t>
      </w:r>
      <w:r>
        <w:rPr>
          <w:rFonts w:ascii="Times New Roman" w:hAnsi="Times New Roman"/>
          <w:b/>
          <w:i w:val="false"/>
          <w:color w:val="000000"/>
          <w:sz w:val="22"/>
        </w:rPr>
        <w:t xml:space="preserve">Replenishment of guarantees, letters of credit, or surety 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136.24(1)</w:t>
      </w:r>
      <w:r>
        <w:rPr>
          <w:rFonts w:ascii="Times New Roman" w:hAnsi="Times New Roman"/>
          <w:b w:val="false"/>
          <w:i w:val="false"/>
          <w:color w:val="000000"/>
          <w:sz w:val="22"/>
        </w:rPr>
        <w:t> </w:t>
      </w:r>
      <w:r>
        <w:rPr>
          <w:rFonts w:ascii="Times New Roman" w:hAnsi="Times New Roman"/>
          <w:b w:val="false"/>
          <w:i w:val="false"/>
          <w:color w:val="000000"/>
          <w:sz w:val="22"/>
        </w:rPr>
        <w:t>If at any time after a standby trust is funded upon the instruction of the director with funds drawn from a guarantee, local government guarantee with standby trust, letter of credit, or surety bond, and the amount in the standby trust is reduced below the full amount of coverage required, the owner or operator shall by the anniversary date of the financial mechanism from which the funds were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Replenish the value of financial assurance to equal the full amount of coverage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Acquire another financial assurance mechanism for the amount by which funds in the standby trust have been reduced.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136.24(2)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full amount of coverage required is the amount of coverage to be provided by rule 567—</w:t>
      </w:r>
      <w:hyperlink r:id="rId249">
        <w:r>
          <w:rPr>
            <w:rStyle w:val="Hyperlink"/>
            <w:rFonts w:ascii="Times New Roman" w:hAnsi="Times New Roman"/>
            <w:b w:val="false"/>
            <w:i w:val="false"/>
            <w:color w:val="000000"/>
            <w:sz w:val="22"/>
          </w:rPr>
          <w:t>136.4</w:t>
        </w:r>
      </w:hyperlink>
      <w:r>
        <w:rPr>
          <w:rFonts w:ascii="Times New Roman" w:hAnsi="Times New Roman"/>
          <w:b w:val="false"/>
          <w:i w:val="false"/>
          <w:color w:val="000000"/>
          <w:sz w:val="22"/>
        </w:rPr>
        <w:t>(455B). If a combination of mechanisms was used to provide the assurance funds which were drawn upon, replenishment shall occur by the earliest anniversary date among the mechanisms.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0">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xml:space="preserve"> and </w:t>
      </w:r>
      <w:hyperlink r:id="rId251">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7/21/89, Notice 2/22/89—published 8/9/89, effective 9/13/89]</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2/28/92, Notice 12/11/91—published 3/18/92, effective 4/22/92]</w:t>
      </w:r>
    </w:p>
    <w:p>
      <w:pPr>
        <w:spacing w:before="0" w:after="0"/>
        <w:ind w:left="120"/>
        <w:jc w:val="center"/>
      </w:pPr>
      <w:r>
        <w:rPr>
          <w:rFonts w:ascii="Times New Roman" w:hAnsi="Times New Roman"/>
          <w:b w:val="false"/>
          <w:i w:val="false"/>
          <w:color w:val="000000"/>
          <w:sz w:val="21"/>
        </w:rPr>
        <w:t>[Filed 6/19/92</w:t>
      </w:r>
      <w:r>
        <w:rPr>
          <w:rFonts w:ascii="Times New Roman" w:hAnsi="Times New Roman"/>
          <w:b/>
          <w:i w:val="false"/>
          <w:color w:val="000000"/>
          <w:sz w:val="21"/>
        </w:rPr>
        <w:t xml:space="preserve">, </w:t>
      </w:r>
      <w:r>
        <w:rPr>
          <w:rFonts w:ascii="Times New Roman" w:hAnsi="Times New Roman"/>
          <w:b w:val="false"/>
          <w:i w:val="false"/>
          <w:color w:val="000000"/>
          <w:sz w:val="21"/>
        </w:rPr>
        <w:t>Notice 4/15/92—published 7/8/92, effective 8/12/92]</w:t>
      </w:r>
    </w:p>
    <w:p>
      <w:pPr>
        <w:spacing w:before="0" w:after="0"/>
        <w:ind w:left="120"/>
        <w:jc w:val="center"/>
      </w:pPr>
      <w:r>
        <w:rPr>
          <w:rFonts w:ascii="Times New Roman" w:hAnsi="Times New Roman"/>
          <w:b w:val="false"/>
          <w:i w:val="false"/>
          <w:color w:val="000000"/>
          <w:sz w:val="21"/>
        </w:rPr>
        <w:t>[Filed 8/27/93, Notice 6/9/93—published 9/15/93, effective 10/20/93]</w:t>
      </w:r>
    </w:p>
    <w:p>
      <w:pPr>
        <w:spacing w:before="0" w:after="0"/>
        <w:ind w:left="120"/>
        <w:jc w:val="center"/>
      </w:pPr>
      <w:r>
        <w:rPr>
          <w:rFonts w:ascii="Times New Roman" w:hAnsi="Times New Roman"/>
          <w:b w:val="false"/>
          <w:i w:val="false"/>
          <w:color w:val="000000"/>
          <w:sz w:val="21"/>
        </w:rPr>
        <w:t>[Filed 3/27/02, Notice 1/9/02—published 4/17/02, effective 5/22/02]</w:t>
      </w:r>
    </w:p>
    <w:p>
      <w:pPr>
        <w:spacing w:before="0" w:after="0"/>
        <w:ind w:left="120"/>
        <w:jc w:val="center"/>
      </w:pPr>
      <w:r>
        <w:rPr>
          <w:rFonts w:ascii="Times New Roman" w:hAnsi="Times New Roman"/>
          <w:b w:val="false"/>
          <w:i w:val="false"/>
          <w:color w:val="000000"/>
          <w:sz w:val="21"/>
        </w:rPr>
        <w:t>[Filed 10/21/05, Notice 7/20/05—published 11/9/05, effective 12/14/05]</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35.1.pdf" Type="http://schemas.openxmlformats.org/officeDocument/2006/relationships/hyperlink" Id="rId5"/>
    <Relationship TargetMode="External" Target="https://www.legis.iowa.gov/docs/ico/chapter/135.1.pdf" Type="http://schemas.openxmlformats.org/officeDocument/2006/relationships/hyperlink" Id="rId6"/>
    <Relationship TargetMode="External" Target="https://www.legis.iowa.gov/docs/iac/rule/567.136.6.pdf" Type="http://schemas.openxmlformats.org/officeDocument/2006/relationships/hyperlink" Id="rId7"/>
    <Relationship TargetMode="External" Target="https://www.legis.iowa.gov/docs/iac/rule/567.136.16.pdf" Type="http://schemas.openxmlformats.org/officeDocument/2006/relationships/hyperlink" Id="rId8"/>
    <Relationship TargetMode="External" Target="https://www.legis.iowa.gov/docs/iac/rule/567.136.8.pdf" Type="http://schemas.openxmlformats.org/officeDocument/2006/relationships/hyperlink" Id="rId9"/>
    <Relationship TargetMode="External" Target="https://www.legis.iowa.gov/docs/iac/rule/567.136.2.pdf" Type="http://schemas.openxmlformats.org/officeDocument/2006/relationships/hyperlink" Id="rId10"/>
    <Relationship TargetMode="External" Target="https://www.legis.iowa.gov/docs/iac/rule/567.136.4.pdf" Type="http://schemas.openxmlformats.org/officeDocument/2006/relationships/hyperlink" Id="rId11"/>
    <Relationship TargetMode="External" Target="https://www.legis.iowa.gov/docs/iac/rule/567.136.4.pdf" Type="http://schemas.openxmlformats.org/officeDocument/2006/relationships/hyperlink" Id="rId12"/>
    <Relationship TargetMode="External" Target="https://www.legis.iowa.gov/docs/iac/rule/567.136.4.pdf" Type="http://schemas.openxmlformats.org/officeDocument/2006/relationships/hyperlink" Id="rId13"/>
    <Relationship TargetMode="External" Target="https://www.legis.iowa.gov/docs/iac/rule/567.136.4.pdf" Type="http://schemas.openxmlformats.org/officeDocument/2006/relationships/hyperlink" Id="rId14"/>
    <Relationship TargetMode="External" Target="https://www.legis.iowa.gov/docs/iac/rule/567.136.4.pdf" Type="http://schemas.openxmlformats.org/officeDocument/2006/relationships/hyperlink" Id="rId15"/>
    <Relationship TargetMode="External" Target="https://www.legis.iowa.gov/docs/iac/rule/567.136.5.pdf" Type="http://schemas.openxmlformats.org/officeDocument/2006/relationships/hyperlink" Id="rId16"/>
    <Relationship TargetMode="External" Target="https://www.legis.iowa.gov/docs/iac/rule/567.136.6.pdf" Type="http://schemas.openxmlformats.org/officeDocument/2006/relationships/hyperlink" Id="rId17"/>
    <Relationship TargetMode="External" Target="https://www.legis.iowa.gov/docs/iac/rule/567.136.12.pdf" Type="http://schemas.openxmlformats.org/officeDocument/2006/relationships/hyperlink" Id="rId18"/>
    <Relationship TargetMode="External" Target="https://www.legis.iowa.gov/docs/iac/rule/567.136.13.pdf" Type="http://schemas.openxmlformats.org/officeDocument/2006/relationships/hyperlink" Id="rId19"/>
    <Relationship TargetMode="External" Target="https://www.legis.iowa.gov/docs/iac/rule/567.136.16.pdf" Type="http://schemas.openxmlformats.org/officeDocument/2006/relationships/hyperlink" Id="rId20"/>
    <Relationship TargetMode="External" Target="https://www.legis.iowa.gov/docs/iac/rule/567.136.4.pdf" Type="http://schemas.openxmlformats.org/officeDocument/2006/relationships/hyperlink" Id="rId21"/>
    <Relationship TargetMode="External" Target="https://www.legis.iowa.gov/docs/iac/rule/567.136.6.pdf" Type="http://schemas.openxmlformats.org/officeDocument/2006/relationships/hyperlink" Id="rId22"/>
    <Relationship TargetMode="External" Target="https://www.legis.iowa.gov/docs/iac/rule/567.136.6.pdf" Type="http://schemas.openxmlformats.org/officeDocument/2006/relationships/hyperlink" Id="rId23"/>
    <Relationship TargetMode="External" Target="https://www.legis.iowa.gov/docs/iac/rule/567.136.4.pdf" Type="http://schemas.openxmlformats.org/officeDocument/2006/relationships/hyperlink" Id="rId24"/>
    <Relationship TargetMode="External" Target="https://www.legis.iowa.gov/docs/iac/rule/567.136.6.pdf" Type="http://schemas.openxmlformats.org/officeDocument/2006/relationships/hyperlink" Id="rId25"/>
    <Relationship TargetMode="External" Target="https://www.legis.iowa.gov/docs/iac/rule/567.136.4.pdf" Type="http://schemas.openxmlformats.org/officeDocument/2006/relationships/hyperlink" Id="rId26"/>
    <Relationship TargetMode="External" Target="https://www.legis.iowa.gov/docs/iac/rule/567.136.6.pdf" Type="http://schemas.openxmlformats.org/officeDocument/2006/relationships/hyperlink" Id="rId27"/>
    <Relationship TargetMode="External" Target="https://www.legis.iowa.gov/docs/iac/rule/567.136.6.pdf" Type="http://schemas.openxmlformats.org/officeDocument/2006/relationships/hyperlink" Id="rId28"/>
    <Relationship TargetMode="External" Target="https://www.legis.iowa.gov/docs/iac/rule/567.136.6.pdf" Type="http://schemas.openxmlformats.org/officeDocument/2006/relationships/hyperlink" Id="rId29"/>
    <Relationship TargetMode="External" Target="https://www.legis.iowa.gov/docs/iac/rule/567.135.3.pdf" Type="http://schemas.openxmlformats.org/officeDocument/2006/relationships/hyperlink" Id="rId30"/>
    <Relationship TargetMode="External" Target="https://www.legis.iowa.gov/docs/iac/rule/567.136.6.pdf" Type="http://schemas.openxmlformats.org/officeDocument/2006/relationships/hyperlink" Id="rId31"/>
    <Relationship TargetMode="External" Target="https://www.legis.iowa.gov/docs/iac/rule/567.136.6.pdf" Type="http://schemas.openxmlformats.org/officeDocument/2006/relationships/hyperlink" Id="rId32"/>
    <Relationship TargetMode="External" Target="https://www.legis.iowa.gov/docs/iac/rule/567.136.6.pdf" Type="http://schemas.openxmlformats.org/officeDocument/2006/relationships/hyperlink" Id="rId33"/>
    <Relationship TargetMode="External" Target="https://www.legis.iowa.gov/docs/iac/rule/567.136.6.pdf" Type="http://schemas.openxmlformats.org/officeDocument/2006/relationships/hyperlink" Id="rId34"/>
    <Relationship TargetMode="External" Target="https://www.legis.iowa.gov/docs/iac/rule/567.136.6.pdf" Type="http://schemas.openxmlformats.org/officeDocument/2006/relationships/hyperlink" Id="rId35"/>
    <Relationship TargetMode="External" Target="https://www.legis.iowa.gov/docs/iac/rule/567.136.6.pdf" Type="http://schemas.openxmlformats.org/officeDocument/2006/relationships/hyperlink" Id="rId36"/>
    <Relationship TargetMode="External" Target="https://www.legis.iowa.gov/docs/iac/rule/567.136.4.pdf" Type="http://schemas.openxmlformats.org/officeDocument/2006/relationships/hyperlink" Id="rId37"/>
    <Relationship TargetMode="External" Target="https://www.legis.iowa.gov/docs/iac/rule/567.136.6.pdf" Type="http://schemas.openxmlformats.org/officeDocument/2006/relationships/hyperlink" Id="rId38"/>
    <Relationship TargetMode="External" Target="https://www.legis.iowa.gov/docs/iac/rule/567.136.6.pdf" Type="http://schemas.openxmlformats.org/officeDocument/2006/relationships/hyperlink" Id="rId39"/>
    <Relationship TargetMode="External" Target="https://www.legis.iowa.gov/docs/iac/rule/567.136.6.pdf" Type="http://schemas.openxmlformats.org/officeDocument/2006/relationships/hyperlink" Id="rId40"/>
    <Relationship TargetMode="External" Target="https://www.legis.iowa.gov/docs/iac/rule/567.136.6.pdf" Type="http://schemas.openxmlformats.org/officeDocument/2006/relationships/hyperlink" Id="rId41"/>
    <Relationship TargetMode="External" Target="https://www.legis.iowa.gov/docs/iac/rule/567.136.6.pdf" Type="http://schemas.openxmlformats.org/officeDocument/2006/relationships/hyperlink" Id="rId42"/>
    <Relationship TargetMode="External" Target="https://www.legis.iowa.gov/docs/iac/rule/567.136.23.pdf" Type="http://schemas.openxmlformats.org/officeDocument/2006/relationships/hyperlink" Id="rId43"/>
    <Relationship TargetMode="External" Target="https://www.legis.iowa.gov/docs/iac/rule/567.136.6.pdf" Type="http://schemas.openxmlformats.org/officeDocument/2006/relationships/hyperlink" Id="rId44"/>
    <Relationship TargetMode="External" Target="https://www.legis.iowa.gov/docs/iac/rule/567.136.6.pdf" Type="http://schemas.openxmlformats.org/officeDocument/2006/relationships/hyperlink" Id="rId45"/>
    <Relationship TargetMode="External" Target="https://www.legis.iowa.gov/docs/iac/rule/567.136.6.pdf" Type="http://schemas.openxmlformats.org/officeDocument/2006/relationships/hyperlink" Id="rId46"/>
    <Relationship TargetMode="External" Target="https://www.legis.iowa.gov/docs/iac/rule/567.136.7.pdf" Type="http://schemas.openxmlformats.org/officeDocument/2006/relationships/hyperlink" Id="rId47"/>
    <Relationship TargetMode="External" Target="https://www.legis.iowa.gov/docs/iac/rule/567.135.3.pdf" Type="http://schemas.openxmlformats.org/officeDocument/2006/relationships/hyperlink" Id="rId48"/>
    <Relationship TargetMode="External" Target="https://www.legis.iowa.gov/docs/iac/chapter/567.136.pdf" Type="http://schemas.openxmlformats.org/officeDocument/2006/relationships/hyperlink" Id="rId49"/>
    <Relationship TargetMode="External" Target="https://www.legis.iowa.gov/docs/iac/rule/567.136.21.pdf" Type="http://schemas.openxmlformats.org/officeDocument/2006/relationships/hyperlink" Id="rId50"/>
    <Relationship TargetMode="External" Target="https://www.legis.iowa.gov/docs/iac/rule/567.135.7.pdf" Type="http://schemas.openxmlformats.org/officeDocument/2006/relationships/hyperlink" Id="rId51"/>
    <Relationship TargetMode="External" Target="https://www.legis.iowa.gov/docs/iac/rule/567.136.21.pdf" Type="http://schemas.openxmlformats.org/officeDocument/2006/relationships/hyperlink" Id="rId52"/>
    <Relationship TargetMode="External" Target="https://www.legis.iowa.gov/docs/iac/rule/567.136.21.pdf" Type="http://schemas.openxmlformats.org/officeDocument/2006/relationships/hyperlink" Id="rId53"/>
    <Relationship TargetMode="External" Target="https://www.legis.iowa.gov/docs/iac/rule/567.136.6.pdf" Type="http://schemas.openxmlformats.org/officeDocument/2006/relationships/hyperlink" Id="rId54"/>
    <Relationship TargetMode="External" Target="https://www.legis.iowa.gov/docs/iac/rule/567.136.6.pdf" Type="http://schemas.openxmlformats.org/officeDocument/2006/relationships/hyperlink" Id="rId55"/>
    <Relationship TargetMode="External" Target="https://www.legis.iowa.gov/docs/iac/rule/567.136.6.pdf" Type="http://schemas.openxmlformats.org/officeDocument/2006/relationships/hyperlink" Id="rId56"/>
    <Relationship TargetMode="External" Target="https://www.legis.iowa.gov/docs/iac/chapter/567.135.pdf" Type="http://schemas.openxmlformats.org/officeDocument/2006/relationships/hyperlink" Id="rId57"/>
    <Relationship TargetMode="External" Target="https://www.legis.iowa.gov/docs/iac/chapter/567.136.pdf" Type="http://schemas.openxmlformats.org/officeDocument/2006/relationships/hyperlink" Id="rId58"/>
    <Relationship TargetMode="External" Target="https://www.legis.iowa.gov/docs/iac/chapter/567.136.pdf" Type="http://schemas.openxmlformats.org/officeDocument/2006/relationships/hyperlink" Id="rId59"/>
    <Relationship TargetMode="External" Target="https://www.legis.iowa.gov/docs/iac/rule/567.136.4.pdf" Type="http://schemas.openxmlformats.org/officeDocument/2006/relationships/hyperlink" Id="rId60"/>
    <Relationship TargetMode="External" Target="https://www.legis.iowa.gov/docs/iac/rule/567.136.7.pdf" Type="http://schemas.openxmlformats.org/officeDocument/2006/relationships/hyperlink" Id="rId61"/>
    <Relationship TargetMode="External" Target="https://www.legis.iowa.gov/docs/iac/rule/567.136.4.pdf" Type="http://schemas.openxmlformats.org/officeDocument/2006/relationships/hyperlink" Id="rId62"/>
    <Relationship TargetMode="External" Target="https://www.legis.iowa.gov/docs/iac/rule/567.136.21.pdf" Type="http://schemas.openxmlformats.org/officeDocument/2006/relationships/hyperlink" Id="rId63"/>
    <Relationship TargetMode="External" Target="https://www.legis.iowa.gov/docs/iac/rule/567.136.12.pdf" Type="http://schemas.openxmlformats.org/officeDocument/2006/relationships/hyperlink" Id="rId64"/>
    <Relationship TargetMode="External" Target="https://www.legis.iowa.gov/docs/iac/rule/567.136.4.pdf" Type="http://schemas.openxmlformats.org/officeDocument/2006/relationships/hyperlink" Id="rId65"/>
    <Relationship TargetMode="External" Target="https://www.legis.iowa.gov/docs/iac/rule/567.136.8.pdf" Type="http://schemas.openxmlformats.org/officeDocument/2006/relationships/hyperlink" Id="rId66"/>
    <Relationship TargetMode="External" Target="https://www.legis.iowa.gov/docs/iac/rule/567.136.8.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6.6.pdf" Type="http://schemas.openxmlformats.org/officeDocument/2006/relationships/hyperlink" Id="rId69"/>
    <Relationship TargetMode="External" Target="https://www.legis.iowa.gov/docs/iac/rule/567.136.11.pdf" Type="http://schemas.openxmlformats.org/officeDocument/2006/relationships/hyperlink" Id="rId70"/>
    <Relationship TargetMode="External" Target="https://www.legis.iowa.gov/docs/iac/rule/567.136.8.pdf" Type="http://schemas.openxmlformats.org/officeDocument/2006/relationships/hyperlink" Id="rId71"/>
    <Relationship TargetMode="External" Target="https://www.legis.iowa.gov/docs/iac/rule/567.136.18.pdf" Type="http://schemas.openxmlformats.org/officeDocument/2006/relationships/hyperlink" Id="rId72"/>
    <Relationship TargetMode="External" Target="https://www.legis.iowa.gov/docs/iac/rule/567.136.8.pdf" Type="http://schemas.openxmlformats.org/officeDocument/2006/relationships/hyperlink" Id="rId73"/>
    <Relationship TargetMode="External" Target="https://www.legis.iowa.gov/docs/iac/rule/567.135.3.pdf" Type="http://schemas.openxmlformats.org/officeDocument/2006/relationships/hyperlink" Id="rId74"/>
    <Relationship TargetMode="External" Target="https://www.legis.iowa.gov/docs/iac/rule/567.136.6.pdf" Type="http://schemas.openxmlformats.org/officeDocument/2006/relationships/hyperlink" Id="rId75"/>
    <Relationship TargetMode="External" Target="https://www.legis.iowa.gov/docs/iac/rule/567.136.17.pdf" Type="http://schemas.openxmlformats.org/officeDocument/2006/relationships/hyperlink" Id="rId76"/>
    <Relationship TargetMode="External" Target="https://www.legis.iowa.gov/docs/iac/rule/567.136.8.pdf" Type="http://schemas.openxmlformats.org/officeDocument/2006/relationships/hyperlink" Id="rId77"/>
    <Relationship TargetMode="External" Target="https://www.legis.iowa.gov/docs/iac/rule/567.136.18.pdf" Type="http://schemas.openxmlformats.org/officeDocument/2006/relationships/hyperlink" Id="rId78"/>
    <Relationship TargetMode="External" Target="https://www.legis.iowa.gov/docs/iac/rule/567.136.8.pdf" Type="http://schemas.openxmlformats.org/officeDocument/2006/relationships/hyperlink" Id="rId79"/>
    <Relationship TargetMode="External" Target="https://www.legis.iowa.gov/docs/iac/rule/567.136.4.pdf" Type="http://schemas.openxmlformats.org/officeDocument/2006/relationships/hyperlink" Id="rId80"/>
    <Relationship TargetMode="External" Target="https://www.legis.iowa.gov/docs/iac/rule/567.135.3.pdf" Type="http://schemas.openxmlformats.org/officeDocument/2006/relationships/hyperlink" Id="rId81"/>
    <Relationship TargetMode="External" Target="https://www.legis.iowa.gov/docs/iac/rule/567.135.7.pdf" Type="http://schemas.openxmlformats.org/officeDocument/2006/relationships/hyperlink" Id="rId82"/>
    <Relationship TargetMode="External" Target="https://www.legis.iowa.gov/docs/iac/chapter/567.136.pdf" Type="http://schemas.openxmlformats.org/officeDocument/2006/relationships/hyperlink" Id="rId83"/>
    <Relationship TargetMode="External" Target="https://www.legis.iowa.gov/docs/iac/rule/567.136.4.pdf" Type="http://schemas.openxmlformats.org/officeDocument/2006/relationships/hyperlink" Id="rId84"/>
    <Relationship TargetMode="External" Target="https://www.legis.iowa.gov/docs/iac/rule/567.135.7.pdf" Type="http://schemas.openxmlformats.org/officeDocument/2006/relationships/hyperlink" Id="rId85"/>
    <Relationship TargetMode="External" Target="https://www.legis.iowa.gov/docs/iac/chapter/567.135.pdf" Type="http://schemas.openxmlformats.org/officeDocument/2006/relationships/hyperlink" Id="rId86"/>
    <Relationship TargetMode="External" Target="https://www.legis.iowa.gov/docs/iac/rule/567.136.7.pdf" Type="http://schemas.openxmlformats.org/officeDocument/2006/relationships/hyperlink" Id="rId87"/>
    <Relationship TargetMode="External" Target="https://www.legis.iowa.gov/docs/iac/rule/567.136.21.pdf" Type="http://schemas.openxmlformats.org/officeDocument/2006/relationships/hyperlink" Id="rId88"/>
    <Relationship TargetMode="External" Target="https://www.legis.iowa.gov/docs/iac/rule/567.136.9.pdf" Type="http://schemas.openxmlformats.org/officeDocument/2006/relationships/hyperlink" Id="rId89"/>
    <Relationship TargetMode="External" Target="https://www.legis.iowa.gov/docs/iac/rule/567.136.4.pdf" Type="http://schemas.openxmlformats.org/officeDocument/2006/relationships/hyperlink" Id="rId90"/>
    <Relationship TargetMode="External" Target="https://www.legis.iowa.gov/docs/iac/rule/567.136.21.pdf" Type="http://schemas.openxmlformats.org/officeDocument/2006/relationships/hyperlink" Id="rId91"/>
    <Relationship TargetMode="External" Target="https://www.legis.iowa.gov/docs/iac/rule/567.136.12.pdf" Type="http://schemas.openxmlformats.org/officeDocument/2006/relationships/hyperlink" Id="rId92"/>
    <Relationship TargetMode="External" Target="https://www.legis.iowa.gov/docs/iac/rule/567.136.4.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6.4.pdf" Type="http://schemas.openxmlformats.org/officeDocument/2006/relationships/hyperlink" Id="rId95"/>
    <Relationship TargetMode="External" Target="https://www.legis.iowa.gov/docs/iac/rule/567.136.10.pdf" Type="http://schemas.openxmlformats.org/officeDocument/2006/relationships/hyperlink" Id="rId96"/>
    <Relationship TargetMode="External" Target="https://www.legis.iowa.gov/docs/iac/rule/567.135.9.pdf" Type="http://schemas.openxmlformats.org/officeDocument/2006/relationships/hyperlink" Id="rId97"/>
    <Relationship TargetMode="External" Target="https://www.legis.iowa.gov/docs/iac/rule/567.136.21.pdf" Type="http://schemas.openxmlformats.org/officeDocument/2006/relationships/hyperlink" Id="rId98"/>
    <Relationship TargetMode="External" Target="https://www.legis.iowa.gov/docs/iac/rule/567.136.12.pdf" Type="http://schemas.openxmlformats.org/officeDocument/2006/relationships/hyperlink" Id="rId99"/>
    <Relationship TargetMode="External" Target="https://www.legis.iowa.gov/docs/iac/rule/567.136.4.pdf" Type="http://schemas.openxmlformats.org/officeDocument/2006/relationships/hyperlink" Id="rId100"/>
    <Relationship TargetMode="External" Target="https://www.legis.iowa.gov/docs/iac/rule/567.136.12.pdf" Type="http://schemas.openxmlformats.org/officeDocument/2006/relationships/hyperlink" Id="rId101"/>
    <Relationship TargetMode="External" Target="https://www.legis.iowa.gov/docs/iac/rule/567.136.12.pdf" Type="http://schemas.openxmlformats.org/officeDocument/2006/relationships/hyperlink" Id="rId102"/>
    <Relationship TargetMode="External" Target="https://www.legis.iowa.gov/docs/iac/rule/567.136.11.pdf" Type="http://schemas.openxmlformats.org/officeDocument/2006/relationships/hyperlink" Id="rId103"/>
    <Relationship TargetMode="External" Target="https://www.legis.iowa.gov/docs/iac/rule/567.136.11.pdf" Type="http://schemas.openxmlformats.org/officeDocument/2006/relationships/hyperlink" Id="rId104"/>
    <Relationship TargetMode="External" Target="https://www.legis.iowa.gov/docs/iac/rule/567.136.7.pdf" Type="http://schemas.openxmlformats.org/officeDocument/2006/relationships/hyperlink" Id="rId105"/>
    <Relationship TargetMode="External" Target="https://www.legis.iowa.gov/docs/iac/rule/567.136.9.pdf" Type="http://schemas.openxmlformats.org/officeDocument/2006/relationships/hyperlink" Id="rId106"/>
    <Relationship TargetMode="External" Target="https://www.legis.iowa.gov/docs/iac/rule/567.136.10.pdf" Type="http://schemas.openxmlformats.org/officeDocument/2006/relationships/hyperlink" Id="rId107"/>
    <Relationship TargetMode="External" Target="https://www.legis.iowa.gov/docs/iac/rule/567.136.4.pdf" Type="http://schemas.openxmlformats.org/officeDocument/2006/relationships/hyperlink" Id="rId108"/>
    <Relationship TargetMode="External" Target="https://www.legis.iowa.gov/docs/iac/rule/567.136.12.pdf" Type="http://schemas.openxmlformats.org/officeDocument/2006/relationships/hyperlink" Id="rId109"/>
    <Relationship TargetMode="External" Target="https://www.legis.iowa.gov/docs/iac/rule/567.136.4.pdf" Type="http://schemas.openxmlformats.org/officeDocument/2006/relationships/hyperlink" Id="rId110"/>
    <Relationship TargetMode="External" Target="https://www.legis.iowa.gov/docs/iac/rule/567.136.4.pdf" Type="http://schemas.openxmlformats.org/officeDocument/2006/relationships/hyperlink" Id="rId111"/>
    <Relationship TargetMode="External" Target="https://www.legis.iowa.gov/docs/iac/rule/567.136.13.pdf" Type="http://schemas.openxmlformats.org/officeDocument/2006/relationships/hyperlink" Id="rId112"/>
    <Relationship TargetMode="External" Target="https://www.legis.iowa.gov/docs/iac/rule/567.136.13.pdf" Type="http://schemas.openxmlformats.org/officeDocument/2006/relationships/hyperlink" Id="rId113"/>
    <Relationship TargetMode="External" Target="https://www.legis.iowa.gov/docs/iac/rule/567.136.4.pdf" Type="http://schemas.openxmlformats.org/officeDocument/2006/relationships/hyperlink" Id="rId114"/>
    <Relationship TargetMode="External" Target="https://www.legis.iowa.gov/docs/iac/rule/567.136.14.pdf" Type="http://schemas.openxmlformats.org/officeDocument/2006/relationships/hyperlink" Id="rId115"/>
    <Relationship TargetMode="External" Target="https://www.legis.iowa.gov/docs/iac/rule/567.136.14.pdf" Type="http://schemas.openxmlformats.org/officeDocument/2006/relationships/hyperlink" Id="rId116"/>
    <Relationship TargetMode="External" Target="https://www.legis.iowa.gov/docs/iac/rule/567.136.14.pdf" Type="http://schemas.openxmlformats.org/officeDocument/2006/relationships/hyperlink" Id="rId117"/>
    <Relationship TargetMode="External" Target="https://www.legis.iowa.gov/docs/iac/rule/567.136.14.pdf" Type="http://schemas.openxmlformats.org/officeDocument/2006/relationships/hyperlink" Id="rId118"/>
    <Relationship TargetMode="External" Target="https://www.legis.iowa.gov/docs/iac/rule/567.136.14.pdf" Type="http://schemas.openxmlformats.org/officeDocument/2006/relationships/hyperlink" Id="rId119"/>
    <Relationship TargetMode="External" Target="https://www.legis.iowa.gov/docs/iac/rule/567.136.14.pdf" Type="http://schemas.openxmlformats.org/officeDocument/2006/relationships/hyperlink" Id="rId120"/>
    <Relationship TargetMode="External" Target="https://www.legis.iowa.gov/docs/iac/rule/567.135.3.pdf" Type="http://schemas.openxmlformats.org/officeDocument/2006/relationships/hyperlink" Id="rId121"/>
    <Relationship TargetMode="External" Target="https://www.legis.iowa.gov/docs/iac/rule/567.136.14.pdf" Type="http://schemas.openxmlformats.org/officeDocument/2006/relationships/hyperlink" Id="rId122"/>
    <Relationship TargetMode="External" Target="https://www.legis.iowa.gov/docs/iac/rule/567.136.13.pdf" Type="http://schemas.openxmlformats.org/officeDocument/2006/relationships/hyperlink" Id="rId123"/>
    <Relationship TargetMode="External" Target="https://www.legis.iowa.gov/docs/iac/rule/567.136.13.pdf" Type="http://schemas.openxmlformats.org/officeDocument/2006/relationships/hyperlink" Id="rId124"/>
    <Relationship TargetMode="External" Target="https://www.legis.iowa.gov/docs/iac/rule/567.136.4.pdf" Type="http://schemas.openxmlformats.org/officeDocument/2006/relationships/hyperlink" Id="rId125"/>
    <Relationship TargetMode="External" Target="https://www.legis.iowa.gov/docs/iac/rule/567.136.13.pdf" Type="http://schemas.openxmlformats.org/officeDocument/2006/relationships/hyperlink" Id="rId126"/>
    <Relationship TargetMode="External" Target="https://www.legis.iowa.gov/docs/iac/rule/567.136.13.pdf" Type="http://schemas.openxmlformats.org/officeDocument/2006/relationships/hyperlink" Id="rId127"/>
    <Relationship TargetMode="External" Target="https://www.legis.iowa.gov/docs/iac/rule/567.136.14.pdf" Type="http://schemas.openxmlformats.org/officeDocument/2006/relationships/hyperlink" Id="rId128"/>
    <Relationship TargetMode="External" Target="https://www.legis.iowa.gov/docs/iac/rule/567.136.14.pdf" Type="http://schemas.openxmlformats.org/officeDocument/2006/relationships/hyperlink" Id="rId129"/>
    <Relationship TargetMode="External" Target="https://www.legis.iowa.gov/docs/iac/rule/567.136.16.pdf" Type="http://schemas.openxmlformats.org/officeDocument/2006/relationships/hyperlink" Id="rId130"/>
    <Relationship TargetMode="External" Target="https://www.legis.iowa.gov/docs/iac/rule/567.136.16.pdf" Type="http://schemas.openxmlformats.org/officeDocument/2006/relationships/hyperlink" Id="rId131"/>
    <Relationship TargetMode="External" Target="https://www.legis.iowa.gov/docs/iac/rule/567.136.16.pdf" Type="http://schemas.openxmlformats.org/officeDocument/2006/relationships/hyperlink" Id="rId132"/>
    <Relationship TargetMode="External" Target="https://www.legis.iowa.gov/docs/iac/rule/567.136.16.pdf" Type="http://schemas.openxmlformats.org/officeDocument/2006/relationships/hyperlink" Id="rId133"/>
    <Relationship TargetMode="External" Target="https://www.legis.iowa.gov/docs/iac/rule/567.136.13.pdf" Type="http://schemas.openxmlformats.org/officeDocument/2006/relationships/hyperlink" Id="rId134"/>
    <Relationship TargetMode="External" Target="https://www.legis.iowa.gov/docs/iac/rule/567.136.14.pdf" Type="http://schemas.openxmlformats.org/officeDocument/2006/relationships/hyperlink" Id="rId135"/>
    <Relationship TargetMode="External" Target="https://www.legis.iowa.gov/docs/iac/rule/567.136.16.pdf" Type="http://schemas.openxmlformats.org/officeDocument/2006/relationships/hyperlink" Id="rId136"/>
    <Relationship TargetMode="External" Target="https://www.legis.iowa.gov/docs/iac/rule/567.136.16.pdf" Type="http://schemas.openxmlformats.org/officeDocument/2006/relationships/hyperlink" Id="rId137"/>
    <Relationship TargetMode="External" Target="https://www.legis.iowa.gov/docs/iac/rule/567.136.16.pdf" Type="http://schemas.openxmlformats.org/officeDocument/2006/relationships/hyperlink" Id="rId138"/>
    <Relationship TargetMode="External" Target="https://www.legis.iowa.gov/docs/iac/rule/567.136.23.pdf" Type="http://schemas.openxmlformats.org/officeDocument/2006/relationships/hyperlink" Id="rId139"/>
    <Relationship TargetMode="External" Target="https://www.legis.iowa.gov/docs/iac/rule/567.136.15.pdf" Type="http://schemas.openxmlformats.org/officeDocument/2006/relationships/hyperlink" Id="rId140"/>
    <Relationship TargetMode="External" Target="https://www.legis.iowa.gov/docs/iac/rule/567.136.15.pdf" Type="http://schemas.openxmlformats.org/officeDocument/2006/relationships/hyperlink" Id="rId141"/>
    <Relationship TargetMode="External" Target="https://www.legis.iowa.gov/docs/iac/rule/567.136.15.pdf" Type="http://schemas.openxmlformats.org/officeDocument/2006/relationships/hyperlink" Id="rId142"/>
    <Relationship TargetMode="External" Target="https://www.legis.iowa.gov/docs/iac/rule/567.136.15.pdf" Type="http://schemas.openxmlformats.org/officeDocument/2006/relationships/hyperlink" Id="rId143"/>
    <Relationship TargetMode="External" Target="https://www.legis.iowa.gov/docs/iac/chapter/567.135.pdf" Type="http://schemas.openxmlformats.org/officeDocument/2006/relationships/hyperlink" Id="rId144"/>
    <Relationship TargetMode="External" Target="https://www.legis.iowa.gov/docs/iac/chapter/567.136.pdf" Type="http://schemas.openxmlformats.org/officeDocument/2006/relationships/hyperlink" Id="rId145"/>
    <Relationship TargetMode="External" Target="https://www.legis.iowa.gov/docs/iac/rule/567.136.21.pdf" Type="http://schemas.openxmlformats.org/officeDocument/2006/relationships/hyperlink" Id="rId146"/>
    <Relationship TargetMode="External" Target="https://www.legis.iowa.gov/docs/iac/chapter/567.135.pdf" Type="http://schemas.openxmlformats.org/officeDocument/2006/relationships/hyperlink" Id="rId147"/>
    <Relationship TargetMode="External" Target="https://www.legis.iowa.gov/docs/iac/rule/567.136.21.pdf" Type="http://schemas.openxmlformats.org/officeDocument/2006/relationships/hyperlink" Id="rId148"/>
    <Relationship TargetMode="External" Target="https://www.legis.iowa.gov/docs/iac/rule/567.136.21.pdf" Type="http://schemas.openxmlformats.org/officeDocument/2006/relationships/hyperlink" Id="rId149"/>
    <Relationship TargetMode="External" Target="https://www.legis.iowa.gov/docs/iac/chapter/567.135.pdf" Type="http://schemas.openxmlformats.org/officeDocument/2006/relationships/hyperlink" Id="rId150"/>
    <Relationship TargetMode="External" Target="https://www.legis.iowa.gov/docs/iac/chapter/567.136.pdf" Type="http://schemas.openxmlformats.org/officeDocument/2006/relationships/hyperlink" Id="rId151"/>
    <Relationship TargetMode="External" Target="https://www.legis.iowa.gov/docs/iac/chapter/567.136.pdf" Type="http://schemas.openxmlformats.org/officeDocument/2006/relationships/hyperlink" Id="rId152"/>
    <Relationship TargetMode="External" Target="https://www.legis.iowa.gov/docs/iac/rule/567.136.4.pdf" Type="http://schemas.openxmlformats.org/officeDocument/2006/relationships/hyperlink" Id="rId153"/>
    <Relationship TargetMode="External" Target="https://www.legis.iowa.gov/docs/iac/rule/567.136.14.pdf" Type="http://schemas.openxmlformats.org/officeDocument/2006/relationships/hyperlink" Id="rId154"/>
    <Relationship TargetMode="External" Target="https://www.legis.iowa.gov/docs/iac/rule/567.136.13.pdf" Type="http://schemas.openxmlformats.org/officeDocument/2006/relationships/hyperlink" Id="rId155"/>
    <Relationship TargetMode="External" Target="https://www.legis.iowa.gov/docs/iac/rule/567.136.14.pdf" Type="http://schemas.openxmlformats.org/officeDocument/2006/relationships/hyperlink" Id="rId156"/>
    <Relationship TargetMode="External" Target="https://www.legis.iowa.gov/docs/iac/rule/567.136.16.pdf" Type="http://schemas.openxmlformats.org/officeDocument/2006/relationships/hyperlink" Id="rId157"/>
    <Relationship TargetMode="External" Target="https://www.legis.iowa.gov/docs/iac/rule/567.136.16.pdf" Type="http://schemas.openxmlformats.org/officeDocument/2006/relationships/hyperlink" Id="rId158"/>
    <Relationship TargetMode="External" Target="https://www.legis.iowa.gov/docs/iac/rule/567.136.16.pdf" Type="http://schemas.openxmlformats.org/officeDocument/2006/relationships/hyperlink" Id="rId159"/>
    <Relationship TargetMode="External" Target="https://www.legis.iowa.gov/docs/iac/rule/567.135.3.pdf" Type="http://schemas.openxmlformats.org/officeDocument/2006/relationships/hyperlink" Id="rId160"/>
    <Relationship TargetMode="External" Target="https://www.legis.iowa.gov/docs/iac/chapter/567.136.pdf" Type="http://schemas.openxmlformats.org/officeDocument/2006/relationships/hyperlink" Id="rId161"/>
    <Relationship TargetMode="External" Target="https://www.legis.iowa.gov/docs/iac/rule/567.136.21.pdf" Type="http://schemas.openxmlformats.org/officeDocument/2006/relationships/hyperlink" Id="rId162"/>
    <Relationship TargetMode="External" Target="https://www.legis.iowa.gov/docs/iac/chapter/567.135.pdf" Type="http://schemas.openxmlformats.org/officeDocument/2006/relationships/hyperlink" Id="rId163"/>
    <Relationship TargetMode="External" Target="https://www.legis.iowa.gov/docs/iac/rule/567.136.21.pdf" Type="http://schemas.openxmlformats.org/officeDocument/2006/relationships/hyperlink" Id="rId164"/>
    <Relationship TargetMode="External" Target="https://www.legis.iowa.gov/docs/iac/rule/567.136.21.pdf" Type="http://schemas.openxmlformats.org/officeDocument/2006/relationships/hyperlink" Id="rId165"/>
    <Relationship TargetMode="External" Target="https://www.legis.iowa.gov/docs/iac/chapter/567.135.pdf" Type="http://schemas.openxmlformats.org/officeDocument/2006/relationships/hyperlink" Id="rId166"/>
    <Relationship TargetMode="External" Target="https://www.legis.iowa.gov/docs/iac/chapter/567.136.pdf" Type="http://schemas.openxmlformats.org/officeDocument/2006/relationships/hyperlink" Id="rId167"/>
    <Relationship TargetMode="External" Target="https://www.legis.iowa.gov/docs/iac/chapter/567.136.pdf" Type="http://schemas.openxmlformats.org/officeDocument/2006/relationships/hyperlink" Id="rId168"/>
    <Relationship TargetMode="External" Target="https://www.legis.iowa.gov/docs/iac/rule/567.136.4.pdf" Type="http://schemas.openxmlformats.org/officeDocument/2006/relationships/hyperlink" Id="rId169"/>
    <Relationship TargetMode="External" Target="https://www.legis.iowa.gov/docs/iac/rule/567.136.15.pdf" Type="http://schemas.openxmlformats.org/officeDocument/2006/relationships/hyperlink" Id="rId170"/>
    <Relationship TargetMode="External" Target="https://www.legis.iowa.gov/docs/iac/chapter/567.135.pdf" Type="http://schemas.openxmlformats.org/officeDocument/2006/relationships/hyperlink" Id="rId171"/>
    <Relationship TargetMode="External" Target="https://www.legis.iowa.gov/docs/iac/chapter/567.136.pdf" Type="http://schemas.openxmlformats.org/officeDocument/2006/relationships/hyperlink" Id="rId172"/>
    <Relationship TargetMode="External" Target="https://www.legis.iowa.gov/docs/iac/chapter/567.135.pdf" Type="http://schemas.openxmlformats.org/officeDocument/2006/relationships/hyperlink" Id="rId173"/>
    <Relationship TargetMode="External" Target="https://www.legis.iowa.gov/docs/iac/chapter/567.135.pdf" Type="http://schemas.openxmlformats.org/officeDocument/2006/relationships/hyperlink" Id="rId174"/>
    <Relationship TargetMode="External" Target="https://www.legis.iowa.gov/docs/iac/chapter/567.136.pdf" Type="http://schemas.openxmlformats.org/officeDocument/2006/relationships/hyperlink" Id="rId175"/>
    <Relationship TargetMode="External" Target="https://www.legis.iowa.gov/docs/iac/chapter/567.136.pdf" Type="http://schemas.openxmlformats.org/officeDocument/2006/relationships/hyperlink" Id="rId176"/>
    <Relationship TargetMode="External" Target="https://www.legis.iowa.gov/docs/iac/rule/567.136.4.pdf" Type="http://schemas.openxmlformats.org/officeDocument/2006/relationships/hyperlink" Id="rId177"/>
    <Relationship TargetMode="External" Target="https://www.legis.iowa.gov/docs/iac/rule/567.136.15.pdf" Type="http://schemas.openxmlformats.org/officeDocument/2006/relationships/hyperlink" Id="rId178"/>
    <Relationship TargetMode="External" Target="https://www.legis.iowa.gov/docs/iac/rule/567.136.13.pdf" Type="http://schemas.openxmlformats.org/officeDocument/2006/relationships/hyperlink" Id="rId179"/>
    <Relationship TargetMode="External" Target="https://www.legis.iowa.gov/docs/iac/rule/567.136.14.pdf" Type="http://schemas.openxmlformats.org/officeDocument/2006/relationships/hyperlink" Id="rId180"/>
    <Relationship TargetMode="External" Target="https://www.legis.iowa.gov/docs/iac/rule/567.136.16.pdf" Type="http://schemas.openxmlformats.org/officeDocument/2006/relationships/hyperlink" Id="rId181"/>
    <Relationship TargetMode="External" Target="https://www.legis.iowa.gov/docs/iac/rule/567.136.16.pdf" Type="http://schemas.openxmlformats.org/officeDocument/2006/relationships/hyperlink" Id="rId182"/>
    <Relationship TargetMode="External" Target="https://www.legis.iowa.gov/docs/iac/rule/567.136.16.pdf" Type="http://schemas.openxmlformats.org/officeDocument/2006/relationships/hyperlink" Id="rId183"/>
    <Relationship TargetMode="External" Target="https://www.legis.iowa.gov/docs/iac/chapter/567.135.pdf" Type="http://schemas.openxmlformats.org/officeDocument/2006/relationships/hyperlink" Id="rId184"/>
    <Relationship TargetMode="External" Target="https://www.legis.iowa.gov/docs/iac/chapter/567.136.pdf" Type="http://schemas.openxmlformats.org/officeDocument/2006/relationships/hyperlink" Id="rId185"/>
    <Relationship TargetMode="External" Target="https://www.legis.iowa.gov/docs/iac/chapter/567.135.pdf" Type="http://schemas.openxmlformats.org/officeDocument/2006/relationships/hyperlink" Id="rId186"/>
    <Relationship TargetMode="External" Target="https://www.legis.iowa.gov/docs/iac/chapter/567.135.pdf" Type="http://schemas.openxmlformats.org/officeDocument/2006/relationships/hyperlink" Id="rId187"/>
    <Relationship TargetMode="External" Target="https://www.legis.iowa.gov/docs/iac/chapter/567.136.pdf" Type="http://schemas.openxmlformats.org/officeDocument/2006/relationships/hyperlink" Id="rId188"/>
    <Relationship TargetMode="External" Target="https://www.legis.iowa.gov/docs/iac/chapter/567.136.pdf" Type="http://schemas.openxmlformats.org/officeDocument/2006/relationships/hyperlink" Id="rId189"/>
    <Relationship TargetMode="External" Target="https://www.legis.iowa.gov/docs/iac/rule/567.136.4.pdf" Type="http://schemas.openxmlformats.org/officeDocument/2006/relationships/hyperlink" Id="rId190"/>
    <Relationship TargetMode="External" Target="https://www.legis.iowa.gov/docs/iac/rule/567.136.15.pdf" Type="http://schemas.openxmlformats.org/officeDocument/2006/relationships/hyperlink" Id="rId191"/>
    <Relationship TargetMode="External" Target="https://www.legis.iowa.gov/docs/iac/rule/567.136.4.pdf" Type="http://schemas.openxmlformats.org/officeDocument/2006/relationships/hyperlink" Id="rId192"/>
    <Relationship TargetMode="External" Target="https://www.legis.iowa.gov/docs/iac/rule/567.136.16.pdf" Type="http://schemas.openxmlformats.org/officeDocument/2006/relationships/hyperlink" Id="rId193"/>
    <Relationship TargetMode="External" Target="https://www.legis.iowa.gov/docs/iac/rule/567.136.4.pdf" Type="http://schemas.openxmlformats.org/officeDocument/2006/relationships/hyperlink" Id="rId194"/>
    <Relationship TargetMode="External" Target="https://www.legis.iowa.gov/docs/iac/rule/567.136.4.pdf" Type="http://schemas.openxmlformats.org/officeDocument/2006/relationships/hyperlink" Id="rId195"/>
    <Relationship TargetMode="External" Target="https://www.legis.iowa.gov/docs/iac/rule/567.136.4.pdf" Type="http://schemas.openxmlformats.org/officeDocument/2006/relationships/hyperlink" Id="rId196"/>
    <Relationship TargetMode="External" Target="https://www.legis.iowa.gov/docs/iac/rule/567.136.4.pdf" Type="http://schemas.openxmlformats.org/officeDocument/2006/relationships/hyperlink" Id="rId197"/>
    <Relationship TargetMode="External" Target="https://www.legis.iowa.gov/docs/iac/rule/567.136.4.pdf" Type="http://schemas.openxmlformats.org/officeDocument/2006/relationships/hyperlink" Id="rId198"/>
    <Relationship TargetMode="External" Target="https://www.legis.iowa.gov/docs/iac/rule/567.136.16.pdf" Type="http://schemas.openxmlformats.org/officeDocument/2006/relationships/hyperlink" Id="rId199"/>
    <Relationship TargetMode="External" Target="https://www.legis.iowa.gov/docs/iac/rule/567.136.16.pdf" Type="http://schemas.openxmlformats.org/officeDocument/2006/relationships/hyperlink" Id="rId200"/>
    <Relationship TargetMode="External" Target="https://www.legis.iowa.gov/docs/iac/rule/567.136.4.pdf" Type="http://schemas.openxmlformats.org/officeDocument/2006/relationships/hyperlink" Id="rId201"/>
    <Relationship TargetMode="External" Target="https://www.legis.iowa.gov/docs/iac/rule/567.136.8.pdf" Type="http://schemas.openxmlformats.org/officeDocument/2006/relationships/hyperlink" Id="rId202"/>
    <Relationship TargetMode="External" Target="https://www.legis.iowa.gov/docs/iac/rule/567.136.8.pdf" Type="http://schemas.openxmlformats.org/officeDocument/2006/relationships/hyperlink" Id="rId203"/>
    <Relationship TargetMode="External" Target="https://www.legis.iowa.gov/docs/iac/rule/567.136.23.pdf" Type="http://schemas.openxmlformats.org/officeDocument/2006/relationships/hyperlink" Id="rId204"/>
    <Relationship TargetMode="External" Target="https://www.legis.iowa.gov/docs/iac/rule/567.136.20.pdf" Type="http://schemas.openxmlformats.org/officeDocument/2006/relationships/hyperlink" Id="rId205"/>
    <Relationship TargetMode="External" Target="https://www.legis.iowa.gov/docs/iac/rule/567.136.20.pdf" Type="http://schemas.openxmlformats.org/officeDocument/2006/relationships/hyperlink" Id="rId206"/>
    <Relationship TargetMode="External" Target="https://www.legis.iowa.gov/docs/iac/rule/567.135.6.pdf" Type="http://schemas.openxmlformats.org/officeDocument/2006/relationships/hyperlink" Id="rId207"/>
    <Relationship TargetMode="External" Target="https://www.legis.iowa.gov/docs/iac/rule/567.135.7.pdf" Type="http://schemas.openxmlformats.org/officeDocument/2006/relationships/hyperlink" Id="rId208"/>
    <Relationship TargetMode="External" Target="https://www.legis.iowa.gov/docs/iac/rule/567.136.6.pdf" Type="http://schemas.openxmlformats.org/officeDocument/2006/relationships/hyperlink" Id="rId209"/>
    <Relationship TargetMode="External" Target="https://www.legis.iowa.gov/docs/iac/rule/567.136.18.pdf" Type="http://schemas.openxmlformats.org/officeDocument/2006/relationships/hyperlink" Id="rId210"/>
    <Relationship TargetMode="External" Target="https://www.legis.iowa.gov/docs/iac/rule/567.135.3.pdf" Type="http://schemas.openxmlformats.org/officeDocument/2006/relationships/hyperlink" Id="rId211"/>
    <Relationship TargetMode="External" Target="https://www.legis.iowa.gov/docs/iac/rule/567.136.20.pdf" Type="http://schemas.openxmlformats.org/officeDocument/2006/relationships/hyperlink" Id="rId212"/>
    <Relationship TargetMode="External" Target="https://www.legis.iowa.gov/docs/iac/rule/567.136.22.pdf" Type="http://schemas.openxmlformats.org/officeDocument/2006/relationships/hyperlink" Id="rId213"/>
    <Relationship TargetMode="External" Target="https://www.legis.iowa.gov/docs/iac/rule/567.136.6.pdf" Type="http://schemas.openxmlformats.org/officeDocument/2006/relationships/hyperlink" Id="rId214"/>
    <Relationship TargetMode="External" Target="https://www.legis.iowa.gov/docs/iac/rule/567.136.11.pdf" Type="http://schemas.openxmlformats.org/officeDocument/2006/relationships/hyperlink" Id="rId215"/>
    <Relationship TargetMode="External" Target="https://www.legis.iowa.gov/docs/iac/rule/567.136.13.pdf" Type="http://schemas.openxmlformats.org/officeDocument/2006/relationships/hyperlink" Id="rId216"/>
    <Relationship TargetMode="External" Target="https://www.legis.iowa.gov/docs/iac/rule/567.136.16.pdf" Type="http://schemas.openxmlformats.org/officeDocument/2006/relationships/hyperlink" Id="rId217"/>
    <Relationship TargetMode="External" Target="https://www.legis.iowa.gov/docs/iac/rule/567.136.15.pdf" Type="http://schemas.openxmlformats.org/officeDocument/2006/relationships/hyperlink" Id="rId218"/>
    <Relationship TargetMode="External" Target="https://www.legis.iowa.gov/docs/iac/rule/567.136.13.pdf" Type="http://schemas.openxmlformats.org/officeDocument/2006/relationships/hyperlink" Id="rId219"/>
    <Relationship TargetMode="External" Target="https://www.legis.iowa.gov/docs/iac/rule/567.136.15.pdf" Type="http://schemas.openxmlformats.org/officeDocument/2006/relationships/hyperlink" Id="rId220"/>
    <Relationship TargetMode="External" Target="https://www.legis.iowa.gov/docs/iac/rule/567.136.13.pdf" Type="http://schemas.openxmlformats.org/officeDocument/2006/relationships/hyperlink" Id="rId221"/>
    <Relationship TargetMode="External" Target="https://www.legis.iowa.gov/docs/iac/rule/567.136.16.pdf" Type="http://schemas.openxmlformats.org/officeDocument/2006/relationships/hyperlink" Id="rId222"/>
    <Relationship TargetMode="External" Target="https://www.legis.iowa.gov/docs/iac/rule/567.136.16.pdf" Type="http://schemas.openxmlformats.org/officeDocument/2006/relationships/hyperlink" Id="rId223"/>
    <Relationship TargetMode="External" Target="https://www.legis.iowa.gov/docs/iac/rule/567.136.16.pdf" Type="http://schemas.openxmlformats.org/officeDocument/2006/relationships/hyperlink" Id="rId224"/>
    <Relationship TargetMode="External" Target="https://www.legis.iowa.gov/docs/iac/rule/567.136.16.pdf" Type="http://schemas.openxmlformats.org/officeDocument/2006/relationships/hyperlink" Id="rId225"/>
    <Relationship TargetMode="External" Target="https://www.legis.iowa.gov/docs/iac/rule/567.136.16.pdf" Type="http://schemas.openxmlformats.org/officeDocument/2006/relationships/hyperlink" Id="rId226"/>
    <Relationship TargetMode="External" Target="https://www.legis.iowa.gov/docs/iac/rule/567.136.6.pdf" Type="http://schemas.openxmlformats.org/officeDocument/2006/relationships/hyperlink" Id="rId227"/>
    <Relationship TargetMode="External" Target="https://www.legis.iowa.gov/docs/iac/rule/567.136.16.pdf" Type="http://schemas.openxmlformats.org/officeDocument/2006/relationships/hyperlink" Id="rId228"/>
    <Relationship TargetMode="External" Target="https://www.legis.iowa.gov/docs/iac/chapter/567.136.pdf" Type="http://schemas.openxmlformats.org/officeDocument/2006/relationships/hyperlink" Id="rId229"/>
    <Relationship TargetMode="External" Target="https://www.legis.iowa.gov/docs/iac/chapter/567.136.pdf" Type="http://schemas.openxmlformats.org/officeDocument/2006/relationships/hyperlink" Id="rId230"/>
    <Relationship TargetMode="External" Target="https://www.legis.iowa.gov/docs/iac/rule/567.135.6.pdf" Type="http://schemas.openxmlformats.org/officeDocument/2006/relationships/hyperlink" Id="rId231"/>
    <Relationship TargetMode="External" Target="https://www.legis.iowa.gov/docs/iac/rule/567.135.7.pdf" Type="http://schemas.openxmlformats.org/officeDocument/2006/relationships/hyperlink" Id="rId232"/>
    <Relationship TargetMode="External" Target="https://www.legis.iowa.gov/docs/iac/rule/567.136.21.pdf" Type="http://schemas.openxmlformats.org/officeDocument/2006/relationships/hyperlink" Id="rId233"/>
    <Relationship TargetMode="External" Target="https://www.legis.iowa.gov/docs/iac/rule/567.136.21.pdf" Type="http://schemas.openxmlformats.org/officeDocument/2006/relationships/hyperlink" Id="rId234"/>
    <Relationship TargetMode="External" Target="https://www.legis.iowa.gov/docs/iac/rule/567.136.21.pdf" Type="http://schemas.openxmlformats.org/officeDocument/2006/relationships/hyperlink" Id="rId235"/>
    <Relationship TargetMode="External" Target="https://www.legis.iowa.gov/docs/iac/rule/567.135.8.pdf" Type="http://schemas.openxmlformats.org/officeDocument/2006/relationships/hyperlink" Id="rId236"/>
    <Relationship TargetMode="External" Target="https://www.legis.iowa.gov/docs/iac/rule/567.136.21.pdf" Type="http://schemas.openxmlformats.org/officeDocument/2006/relationships/hyperlink" Id="rId237"/>
    <Relationship TargetMode="External" Target="https://www.legis.iowa.gov/docs/iac/rule/567.136.21.pdf" Type="http://schemas.openxmlformats.org/officeDocument/2006/relationships/hyperlink" Id="rId238"/>
    <Relationship TargetMode="External" Target="https://www.legis.iowa.gov/docs/iac/rule/567.136.21.pdf" Type="http://schemas.openxmlformats.org/officeDocument/2006/relationships/hyperlink" Id="rId239"/>
    <Relationship TargetMode="External" Target="https://www.legis.iowa.gov/docs/iac/rule/567.136.15.pdf" Type="http://schemas.openxmlformats.org/officeDocument/2006/relationships/hyperlink" Id="rId240"/>
    <Relationship TargetMode="External" Target="https://www.legis.iowa.gov/docs/iac/rule/567.136.21.pdf" Type="http://schemas.openxmlformats.org/officeDocument/2006/relationships/hyperlink" Id="rId241"/>
    <Relationship TargetMode="External" Target="https://www.legis.iowa.gov/docs/iac/rule/567.136.21.pdf" Type="http://schemas.openxmlformats.org/officeDocument/2006/relationships/hyperlink" Id="rId242"/>
    <Relationship TargetMode="External" Target="https://www.legis.iowa.gov/docs/iac/rule/567.136.21.pdf" Type="http://schemas.openxmlformats.org/officeDocument/2006/relationships/hyperlink" Id="rId243"/>
    <Relationship TargetMode="External" Target="https://www.legis.iowa.gov/docs/iac/rule/567.135.15.pdf" Type="http://schemas.openxmlformats.org/officeDocument/2006/relationships/hyperlink" Id="rId244"/>
    <Relationship TargetMode="External" Target="https://www.legis.iowa.gov/docs/iac/rule/567.136.20.pdf" Type="http://schemas.openxmlformats.org/officeDocument/2006/relationships/hyperlink" Id="rId245"/>
    <Relationship TargetMode="External" Target="https://www.legis.iowa.gov/docs/iac/rule/567.136.7.pdf" Type="http://schemas.openxmlformats.org/officeDocument/2006/relationships/hyperlink" Id="rId246"/>
    <Relationship TargetMode="External" Target="https://www.legis.iowa.gov/docs/iac/rule/567.136.20.pdf" Type="http://schemas.openxmlformats.org/officeDocument/2006/relationships/hyperlink" Id="rId247"/>
    <Relationship TargetMode="External" Target="https://www.legis.iowa.gov/docs/iac/rule/567.136.15.pdf" Type="http://schemas.openxmlformats.org/officeDocument/2006/relationships/hyperlink" Id="rId248"/>
    <Relationship TargetMode="External" Target="https://www.legis.iowa.gov/docs/iac/rule/567.136.4.pdf" Type="http://schemas.openxmlformats.org/officeDocument/2006/relationships/hyperlink" Id="rId249"/>
    <Relationship TargetMode="External" Target="https://www.legis.iowa.gov/docs/ico/chapter/455B.424.pdf" Type="http://schemas.openxmlformats.org/officeDocument/2006/relationships/hyperlink" Id="rId250"/>
    <Relationship TargetMode="External" Target="https://www.legis.iowa.gov/docs/ico/chapter/455B.474.pdf" Type="http://schemas.openxmlformats.org/officeDocument/2006/relationships/hyperlink" Id="rId2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