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123</w:t>
      </w:r>
    </w:p>
    <w:p>
      <w:pPr>
        <w:spacing w:before="0" w:after="0"/>
        <w:ind w:left="120"/>
        <w:jc w:val="center"/>
      </w:pPr>
      <w:r>
        <w:rPr>
          <w:rFonts w:ascii="Times New Roman" w:hAnsi="Times New Roman"/>
          <w:b w:val="false"/>
          <w:i w:val="false"/>
          <w:color w:val="000000"/>
          <w:sz w:val="21"/>
        </w:rPr>
        <w:t>REGIONAL COLLECTION CENTERS AND SATELLITE FACILITIES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567—123.1</w:t>
      </w:r>
      <w:r>
        <w:rPr>
          <w:rFonts w:ascii="Times New Roman" w:hAnsi="Times New Roman"/>
          <w:b/>
          <w:i w:val="false"/>
          <w:color w:val="000000"/>
          <w:sz w:val="22"/>
        </w:rPr>
        <w:t xml:space="preserve">(455F)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this chapter is to implement operating license requirements for regional collection centers and satellite facilities which provide for the collection and proper disposal of household hazardous materials (HHMs) and hazardous waste from very small quantity generators (VSQGs).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3995C</w:t>
      </w:r>
      <w:r>
        <w:rPr>
          <w:rFonts w:ascii="Times New Roman" w:hAnsi="Times New Roman"/>
          <w:b w:val="false"/>
          <w:i w:val="false"/>
          <w:color w:val="000000"/>
          <w:sz w:val="16"/>
        </w:rPr>
        <w:t>, IAB 9/12/18, effective 10/17/18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567—123.2</w:t>
      </w:r>
      <w:r>
        <w:rPr>
          <w:rFonts w:ascii="Times New Roman" w:hAnsi="Times New Roman"/>
          <w:b/>
          <w:i w:val="false"/>
          <w:color w:val="000000"/>
          <w:sz w:val="22"/>
        </w:rPr>
        <w:t xml:space="preserve">(455B,455D,455F)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this chapter, these terms shall have the following meanings: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“Hazardous waste”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“HW”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455B.411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“Hazardous waste contractor” </w:t>
      </w:r>
      <w:r>
        <w:rPr>
          <w:rFonts w:ascii="Times New Roman" w:hAnsi="Times New Roman"/>
          <w:b w:val="false"/>
          <w:i w:val="false"/>
          <w:color w:val="000000"/>
          <w:sz w:val="22"/>
        </w:rPr>
        <w:t>means a private company that provides proper management (e.g., disposal, recycling) of hazardous waste. “Hazardous waste contractor” does not include regional collection centers.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“Household hazardous material”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“HHM”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455F.1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“Household hazardous waste”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“HHW” </w:t>
      </w:r>
      <w:r>
        <w:rPr>
          <w:rFonts w:ascii="Times New Roman" w:hAnsi="Times New Roman"/>
          <w:b w:val="false"/>
          <w:i w:val="false"/>
          <w:color w:val="000000"/>
          <w:sz w:val="22"/>
        </w:rPr>
        <w:t xml:space="preserve">means an HHM as defined in Iowa Code section </w:t>
      </w:r>
      <w:hyperlink r:id="rId7">
        <w:r>
          <w:rPr>
            <w:rStyle w:val="Hyperlink"/>
            <w:rFonts w:ascii="Times New Roman" w:hAnsi="Times New Roman"/>
            <w:b w:val="false"/>
            <w:i w:val="false"/>
            <w:color w:val="000000"/>
            <w:sz w:val="22"/>
          </w:rPr>
          <w:t>455F.1</w:t>
        </w:r>
      </w:hyperlink>
      <w:r>
        <w:rPr>
          <w:rFonts w:ascii="Times New Roman" w:hAnsi="Times New Roman"/>
          <w:b w:val="false"/>
          <w:i w:val="false"/>
          <w:color w:val="000000"/>
          <w:sz w:val="22"/>
        </w:rPr>
        <w:t xml:space="preserve"> which has served its intended use and is designated for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“RCC mobile unit”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“mobile unit” </w:t>
      </w:r>
      <w:r>
        <w:rPr>
          <w:rFonts w:ascii="Times New Roman" w:hAnsi="Times New Roman"/>
          <w:b w:val="false"/>
          <w:i w:val="false"/>
          <w:color w:val="000000"/>
          <w:sz w:val="22"/>
        </w:rPr>
        <w:t>means a truck or trailer owned and operated under the direction of a regional collection center that can be moved to different sites within a region. A mobile unit is used to perform collection events and to transport collected materials to an RCC for sorting and consolidation.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“Regional collection center”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“RCC”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455F.1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“Satellite facility”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455F.1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“Very small quantity generator”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“VSQG” </w:t>
      </w:r>
      <w:r>
        <w:rPr>
          <w:rFonts w:ascii="Times New Roman" w:hAnsi="Times New Roman"/>
          <w:b w:val="false"/>
          <w:i w:val="false"/>
          <w:color w:val="000000"/>
          <w:sz w:val="22"/>
        </w:rPr>
        <w:t>means a generator that generates less than or equal to the following amounts in a calendar month:</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100 kilograms (220 lbs) of non-acute hazardous waste;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1 kilogram (2.2 lbs) of acute hazardous waste listed in 40 CFR 261.31 or 40 CFR 261.33(e);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100 kilograms (220 lbs) of any residue or contaminated soil, water, or other debris resulting from the cleanup of a spill, into or on any land or water, of any acute hazardous waste listed in 40 CFR 261.31 or 40 CFR 261.33(e).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3995C</w:t>
      </w:r>
      <w:r>
        <w:rPr>
          <w:rFonts w:ascii="Times New Roman" w:hAnsi="Times New Roman"/>
          <w:b w:val="false"/>
          <w:i w:val="false"/>
          <w:color w:val="000000"/>
          <w:sz w:val="16"/>
        </w:rPr>
        <w:t>, IAB 9/12/18, effective 10/17/18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567—123.3</w:t>
      </w:r>
      <w:r>
        <w:rPr>
          <w:rFonts w:ascii="Times New Roman" w:hAnsi="Times New Roman"/>
          <w:b/>
          <w:i w:val="false"/>
          <w:color w:val="000000"/>
          <w:sz w:val="22"/>
        </w:rPr>
        <w:t xml:space="preserve">(455F) </w:t>
      </w:r>
      <w:r>
        <w:rPr>
          <w:rFonts w:ascii="Times New Roman" w:hAnsi="Times New Roman"/>
          <w:b/>
          <w:i w:val="false"/>
          <w:color w:val="000000"/>
          <w:sz w:val="22"/>
        </w:rPr>
        <w:t xml:space="preserve">Regional collection center license and license renewal. </w:t>
      </w:r>
      <w:r>
        <w:rPr>
          <w:rFonts w:ascii="Times New Roman" w:hAnsi="Times New Roman"/>
          <w:b w:val="false"/>
          <w:i w:val="false"/>
          <w:color w:val="000000"/>
          <w:sz w:val="22"/>
        </w:rPr>
        <w:t>A license or license renewal will be issued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123.3(1)</w:t>
      </w:r>
      <w:r>
        <w:rPr>
          <w:rFonts w:ascii="Times New Roman" w:hAnsi="Times New Roman"/>
          <w:b w:val="false"/>
          <w:i w:val="false"/>
          <w:color w:val="000000"/>
          <w:sz w:val="22"/>
        </w:rPr>
        <w:t> </w:t>
      </w:r>
      <w:r>
        <w:rPr>
          <w:rFonts w:ascii="Times New Roman" w:hAnsi="Times New Roman"/>
          <w:b w:val="false"/>
          <w:i/>
          <w:color w:val="000000"/>
          <w:sz w:val="22"/>
        </w:rPr>
        <w:t xml:space="preserve">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RCC shall not operate without a license issued by the department. RCCs in existence prior to January 14, 2019, will automatically be issued an operating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satellite facility shall not be required to obtain 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123.3(2)</w:t>
      </w:r>
      <w:r>
        <w:rPr>
          <w:rFonts w:ascii="Times New Roman" w:hAnsi="Times New Roman"/>
          <w:b w:val="false"/>
          <w:i w:val="false"/>
          <w:color w:val="000000"/>
          <w:sz w:val="22"/>
        </w:rPr>
        <w:t> </w:t>
      </w:r>
      <w:r>
        <w:rPr>
          <w:rFonts w:ascii="Times New Roman" w:hAnsi="Times New Roman"/>
          <w:b w:val="false"/>
          <w:i/>
          <w:color w:val="000000"/>
          <w:sz w:val="22"/>
        </w:rPr>
        <w:t xml:space="preserve">Compliance. </w:t>
      </w:r>
      <w:r>
        <w:rPr>
          <w:rFonts w:ascii="Times New Roman" w:hAnsi="Times New Roman"/>
          <w:b w:val="false"/>
          <w:i w:val="false"/>
          <w:color w:val="000000"/>
          <w:sz w:val="22"/>
        </w:rPr>
        <w:t>An RCC and satellite facility must be in compliance with current local, state and federal statutes and regulations regarding the management, storage, transportation and disposition of HHM, HHW and HW from VSQGs.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123.3(3)</w:t>
      </w:r>
      <w:r>
        <w:rPr>
          <w:rFonts w:ascii="Times New Roman" w:hAnsi="Times New Roman"/>
          <w:b w:val="false"/>
          <w:i w:val="false"/>
          <w:color w:val="000000"/>
          <w:sz w:val="22"/>
        </w:rPr>
        <w:t> </w:t>
      </w:r>
      <w:r>
        <w:rPr>
          <w:rFonts w:ascii="Times New Roman" w:hAnsi="Times New Roman"/>
          <w:b w:val="false"/>
          <w:i/>
          <w:color w:val="000000"/>
          <w:sz w:val="22"/>
        </w:rPr>
        <w:t xml:space="preserve">Construction. </w:t>
      </w:r>
      <w:r>
        <w:rPr>
          <w:rFonts w:ascii="Times New Roman" w:hAnsi="Times New Roman"/>
          <w:b w:val="false"/>
          <w:i w:val="false"/>
          <w:color w:val="000000"/>
          <w:sz w:val="22"/>
        </w:rPr>
        <w:t>An RCC shall not be constructed without review of the site plan and written approval of the site plan by the department. The approved plans and specifications shall constitute a condition of the initial operating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123.3(4)</w:t>
      </w:r>
      <w:r>
        <w:rPr>
          <w:rFonts w:ascii="Times New Roman" w:hAnsi="Times New Roman"/>
          <w:b w:val="false"/>
          <w:i w:val="false"/>
          <w:color w:val="000000"/>
          <w:sz w:val="22"/>
        </w:rPr>
        <w:t> </w:t>
      </w:r>
      <w:r>
        <w:rPr>
          <w:rFonts w:ascii="Times New Roman" w:hAnsi="Times New Roman"/>
          <w:b w:val="false"/>
          <w:i/>
          <w:color w:val="000000"/>
          <w:sz w:val="22"/>
        </w:rPr>
        <w:t xml:space="preserve">Inspection prior to commencing initial operation. </w:t>
      </w:r>
      <w:r>
        <w:rPr>
          <w:rFonts w:ascii="Times New Roman" w:hAnsi="Times New Roman"/>
          <w:b w:val="false"/>
          <w:i w:val="false"/>
          <w:color w:val="000000"/>
          <w:sz w:val="22"/>
        </w:rPr>
        <w:t>The department shall be notified before an RCC or satellite facility begins operations. No HHM or HW from VSQGs shall be accepted by the RCC or satellite facility until the facility has been inspected and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123.3(5)</w:t>
      </w:r>
      <w:r>
        <w:rPr>
          <w:rFonts w:ascii="Times New Roman" w:hAnsi="Times New Roman"/>
          <w:b w:val="false"/>
          <w:i w:val="false"/>
          <w:color w:val="000000"/>
          <w:sz w:val="22"/>
        </w:rPr>
        <w:t> </w:t>
      </w:r>
      <w:r>
        <w:rPr>
          <w:rFonts w:ascii="Times New Roman" w:hAnsi="Times New Roman"/>
          <w:b w:val="false"/>
          <w:i/>
          <w:color w:val="000000"/>
          <w:sz w:val="22"/>
        </w:rPr>
        <w:t xml:space="preserve">Duration and renewal of license. </w:t>
      </w:r>
      <w:r>
        <w:rPr>
          <w:rFonts w:ascii="Times New Roman" w:hAnsi="Times New Roman"/>
          <w:b w:val="false"/>
          <w:i w:val="false"/>
          <w:color w:val="000000"/>
          <w:sz w:val="22"/>
        </w:rPr>
        <w:t xml:space="preserve">The initial license issued may be renewed for a period of five years. If the license applicant is a private agency under contract with a local government, the license shall not extend past the end date of the contract. An entity designated as an environmental management system pursuant to Iowa Code section </w:t>
      </w:r>
      <w:hyperlink r:id="rId10">
        <w:r>
          <w:rPr>
            <w:rStyle w:val="Hyperlink"/>
            <w:rFonts w:ascii="Times New Roman" w:hAnsi="Times New Roman"/>
            <w:b w:val="false"/>
            <w:i w:val="false"/>
            <w:color w:val="000000"/>
            <w:sz w:val="22"/>
          </w:rPr>
          <w:t>455J.7</w:t>
        </w:r>
      </w:hyperlink>
      <w:r>
        <w:rPr>
          <w:rFonts w:ascii="Times New Roman" w:hAnsi="Times New Roman"/>
          <w:b w:val="false"/>
          <w:i w:val="false"/>
          <w:color w:val="000000"/>
          <w:sz w:val="22"/>
        </w:rPr>
        <w:t xml:space="preserve"> may opt out of the license renewal requirement provided the entity is in compliance with 123.3(2) and there has been no change in the provisions of the current license. Any change in the provisions of the current license requires department notification as described in 123.3(7).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123.3(6)</w:t>
      </w:r>
      <w:r>
        <w:rPr>
          <w:rFonts w:ascii="Times New Roman" w:hAnsi="Times New Roman"/>
          <w:b w:val="false"/>
          <w:i w:val="false"/>
          <w:color w:val="000000"/>
          <w:sz w:val="22"/>
        </w:rPr>
        <w:t> </w:t>
      </w:r>
      <w:r>
        <w:rPr>
          <w:rFonts w:ascii="Times New Roman" w:hAnsi="Times New Roman"/>
          <w:b w:val="false"/>
          <w:i/>
          <w:color w:val="000000"/>
          <w:sz w:val="22"/>
        </w:rPr>
        <w:t xml:space="preserve">Request and approval of initial license or license renewal. </w:t>
      </w:r>
      <w:r>
        <w:rPr>
          <w:rFonts w:ascii="Times New Roman" w:hAnsi="Times New Roman"/>
          <w:b w:val="false"/>
          <w:i w:val="false"/>
          <w:color w:val="000000"/>
          <w:sz w:val="22"/>
        </w:rPr>
        <w:t xml:space="preserve">A new RCC shall file a request for a license on a form provided by the department. An established RCC shall file a request for license renewal 45 calendar days prior to the expiration of the current license, via hard-copy request or electronically, on a form provided by the department. A renewal shall be issued within 30 business days if the facility is in compliance with Iowa Code chapters </w:t>
      </w:r>
      <w:hyperlink r:id="rId11">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455D</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455F</w:t>
        </w:r>
      </w:hyperlink>
      <w:r>
        <w:rPr>
          <w:rFonts w:ascii="Times New Roman" w:hAnsi="Times New Roman"/>
          <w:b w:val="false"/>
          <w:i w:val="false"/>
          <w:color w:val="000000"/>
          <w:sz w:val="22"/>
        </w:rPr>
        <w:t xml:space="preserve"> and the conditions of the current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123.3(7)</w:t>
      </w:r>
      <w:r>
        <w:rPr>
          <w:rFonts w:ascii="Times New Roman" w:hAnsi="Times New Roman"/>
          <w:b w:val="false"/>
          <w:i w:val="false"/>
          <w:color w:val="000000"/>
          <w:sz w:val="22"/>
        </w:rPr>
        <w:t> </w:t>
      </w:r>
      <w:r>
        <w:rPr>
          <w:rFonts w:ascii="Times New Roman" w:hAnsi="Times New Roman"/>
          <w:b w:val="false"/>
          <w:i/>
          <w:color w:val="000000"/>
          <w:sz w:val="22"/>
        </w:rPr>
        <w:t xml:space="preserve">License modification. </w:t>
      </w:r>
      <w:r>
        <w:rPr>
          <w:rFonts w:ascii="Times New Roman" w:hAnsi="Times New Roman"/>
          <w:b w:val="false"/>
          <w:i w:val="false"/>
          <w:color w:val="000000"/>
          <w:sz w:val="22"/>
        </w:rPr>
        <w:t>An RCC shall request to modify its license by notifying the department of changes to any provision of its license via hard-copy or electronic correspondence. An RCC shall notify the department within 30 calendar days of a planned change to the provisions of its license and within 7 calendar days of an unplanned change to the provisions of its license. Upon approval of a request to modify an RCC license, the department will issue a license modification within 14 business days of approving the license modification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3995C</w:t>
      </w:r>
      <w:r>
        <w:rPr>
          <w:rFonts w:ascii="Times New Roman" w:hAnsi="Times New Roman"/>
          <w:b w:val="false"/>
          <w:i w:val="false"/>
          <w:color w:val="000000"/>
          <w:sz w:val="16"/>
        </w:rPr>
        <w:t>, IAB 9/12/18, effective 10/17/18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567—123.4</w:t>
      </w:r>
      <w:r>
        <w:rPr>
          <w:rFonts w:ascii="Times New Roman" w:hAnsi="Times New Roman"/>
          <w:b/>
          <w:i w:val="false"/>
          <w:color w:val="000000"/>
          <w:sz w:val="22"/>
        </w:rPr>
        <w:t xml:space="preserve">(455F) </w:t>
      </w:r>
      <w:r>
        <w:rPr>
          <w:rFonts w:ascii="Times New Roman" w:hAnsi="Times New Roman"/>
          <w:b/>
          <w:i w:val="false"/>
          <w:color w:val="000000"/>
          <w:sz w:val="22"/>
        </w:rPr>
        <w:t xml:space="preserve">Site, structure, storage, and staff qualifications. </w:t>
      </w:r>
      <w:r>
        <w:rPr>
          <w:rFonts w:ascii="Times New Roman" w:hAnsi="Times New Roman"/>
          <w:b w:val="false"/>
          <w:i w:val="false"/>
          <w:color w:val="000000"/>
          <w:sz w:val="22"/>
        </w:rPr>
        <w:t>RCCs, satellite facilities and mobile units shall each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123.4(1)</w:t>
      </w:r>
      <w:r>
        <w:rPr>
          <w:rFonts w:ascii="Times New Roman" w:hAnsi="Times New Roman"/>
          <w:b w:val="false"/>
          <w:i w:val="false"/>
          <w:color w:val="000000"/>
          <w:sz w:val="22"/>
        </w:rPr>
        <w:t> </w:t>
      </w:r>
      <w:r>
        <w:rPr>
          <w:rFonts w:ascii="Times New Roman" w:hAnsi="Times New Roman"/>
          <w:b w:val="false"/>
          <w:i/>
          <w:color w:val="000000"/>
          <w:sz w:val="22"/>
        </w:rPr>
        <w:t xml:space="preserve">Siting. </w:t>
      </w:r>
      <w:r>
        <w:rPr>
          <w:rFonts w:ascii="Times New Roman" w:hAnsi="Times New Roman"/>
          <w:b w:val="false"/>
          <w:i w:val="false"/>
          <w:color w:val="000000"/>
          <w:sz w:val="22"/>
        </w:rPr>
        <w:t>A site selected for an RCC, satellite facility or mobile unit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RCC, satellite facility or mobile unit used for the collection of VSQG waste and HHMs shall be sited on public property or on private property if an agreement exists that guarantees public access. Documentation of the private property agreement for RCCs and satellite facilities shall be provided to the department upon request or upon application and renewal for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site shall provide adequate secondary containment in case of a spill or other possible on-site contamination.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site shall meet all applicable zoning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site shall be adequately sized to accommodate all structures, units and activities that will take place on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RCCs and satellite facilities shall each have adequate security to prevent unauthorized access. Adequate security may include, but is not limited to, a fence and locking gate.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mobile units and the containers used to package collected materials shall comply with applicable Iowa department of transportation rules and guidelines. At each mobile unit site, the mobile unit shall rest on a pad of a chemical-resistant, impervious, smooth material that provides secondary containment in case of a spill. A temporary surface created by securing an impervious tarp to the unloading/receiving area will meet the requirements of an impervious surface. A plan for conducting mobile unit collection events must consider the possibility of inclement weather. The plan must ensure that collected HHM and VSQG hazardous waste have protection from the elements and must minimize the risk of environmental contamination.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123.4(2)</w:t>
      </w:r>
      <w:r>
        <w:rPr>
          <w:rFonts w:ascii="Times New Roman" w:hAnsi="Times New Roman"/>
          <w:b w:val="false"/>
          <w:i w:val="false"/>
          <w:color w:val="000000"/>
          <w:sz w:val="22"/>
        </w:rPr>
        <w:t> </w:t>
      </w:r>
      <w:r>
        <w:rPr>
          <w:rFonts w:ascii="Times New Roman" w:hAnsi="Times New Roman"/>
          <w:b w:val="false"/>
          <w:i/>
          <w:color w:val="000000"/>
          <w:sz w:val="22"/>
        </w:rPr>
        <w:t xml:space="preserve">Structures. </w:t>
      </w:r>
      <w:r>
        <w:rPr>
          <w:rFonts w:ascii="Times New Roman" w:hAnsi="Times New Roman"/>
          <w:b w:val="false"/>
          <w:i w:val="false"/>
          <w:color w:val="000000"/>
          <w:sz w:val="22"/>
        </w:rPr>
        <w:t>RCC or satellite facility structures shall each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structures shall be sized to adequately accommodate the collection, sorting, bulking and lab packing, packaging for disposal, and temporary storage of HHM and HW from VSQGs.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permanent structures shall meet the requirements of applicable fire codes and building codes.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RCC structures and satellite facility structures shall each be designed to prevent run-on entering from adjacent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receiving areas shall have a storage capacity of at least one day’s processing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receiving, sorting, bulking, transfer and storage area surfaces shall be constructed of a chemical-resistant, impervious, smooth material so designed to be easily cleaned, nonreactive with the waste, and with proper drainage, in the form of sloped flooring, plastic-lined pits or concrete sumps, according to applicable codes. Areas used for the receiving, bulking, transferring, lab packing and storing of HHM, HHW and VSQG hazardous waste shall be provided with secondary containment and shall be protected from exposure to the weather.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123.4(3)</w:t>
      </w:r>
      <w:r>
        <w:rPr>
          <w:rFonts w:ascii="Times New Roman" w:hAnsi="Times New Roman"/>
          <w:b w:val="false"/>
          <w:i w:val="false"/>
          <w:color w:val="000000"/>
          <w:sz w:val="22"/>
        </w:rPr>
        <w:t> </w:t>
      </w:r>
      <w:r>
        <w:rPr>
          <w:rFonts w:ascii="Times New Roman" w:hAnsi="Times New Roman"/>
          <w:b w:val="false"/>
          <w:i/>
          <w:color w:val="000000"/>
          <w:sz w:val="22"/>
        </w:rPr>
        <w:t xml:space="preserve">Storage. </w:t>
      </w:r>
      <w:r>
        <w:rPr>
          <w:rFonts w:ascii="Times New Roman" w:hAnsi="Times New Roman"/>
          <w:b w:val="false"/>
          <w:i w:val="false"/>
          <w:color w:val="000000"/>
          <w:sz w:val="22"/>
        </w:rPr>
        <w:t>All full containers of HHW and hazardous wastes from VSQGs must be stored in a building designed in accordance with Group H occupancy requirements and local, state and federal fire codes. It is required that HW or HHW accumulated for disposal not be accumulated on site for more than 180 days. Once the capacity limit of a collection site or time limit is reached, all waste collected shall be collected by a licensed hazardous waste contractor.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123.4(4)</w:t>
      </w:r>
      <w:r>
        <w:rPr>
          <w:rFonts w:ascii="Times New Roman" w:hAnsi="Times New Roman"/>
          <w:b w:val="false"/>
          <w:i w:val="false"/>
          <w:color w:val="000000"/>
          <w:sz w:val="22"/>
        </w:rPr>
        <w:t> </w:t>
      </w:r>
      <w:r>
        <w:rPr>
          <w:rFonts w:ascii="Times New Roman" w:hAnsi="Times New Roman"/>
          <w:b w:val="false"/>
          <w:i/>
          <w:color w:val="000000"/>
          <w:sz w:val="22"/>
        </w:rPr>
        <w:t xml:space="preserve">Staff qualifications. </w:t>
      </w:r>
      <w:r>
        <w:rPr>
          <w:rFonts w:ascii="Times New Roman" w:hAnsi="Times New Roman"/>
          <w:b w:val="false"/>
          <w:i w:val="false"/>
          <w:color w:val="000000"/>
          <w:sz w:val="22"/>
        </w:rPr>
        <w:t>Prior to handling any HHM or HW, RCC and satellite facility staff shall each have received applicable training conducted by trainers who meet Occupational Safety and Health Administration (OSHA) instructor qualification standards. Training shall include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OSHA 24-hour health and safety training as described in 29 CFR 1910.120.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Annual 8-hour refresher training as described in 29 CFR 1910.120.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Hazardous materials chemistry.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Personnel and site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Proper lab packing techniques.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Proper transporting of hazardous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When applicable, U.S. Department of Transportation hazardous materials training for the operation of a mobile unit used in the collection and transportation of HHM and HW from VSQGs.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3995C</w:t>
      </w:r>
      <w:r>
        <w:rPr>
          <w:rFonts w:ascii="Times New Roman" w:hAnsi="Times New Roman"/>
          <w:b w:val="false"/>
          <w:i w:val="false"/>
          <w:color w:val="000000"/>
          <w:sz w:val="16"/>
        </w:rPr>
        <w:t>, IAB 9/12/18, effective 10/17/18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567—123.5</w:t>
      </w:r>
      <w:r>
        <w:rPr>
          <w:rFonts w:ascii="Times New Roman" w:hAnsi="Times New Roman"/>
          <w:b/>
          <w:i w:val="false"/>
          <w:color w:val="000000"/>
          <w:sz w:val="22"/>
        </w:rPr>
        <w:t xml:space="preserve">(455F) </w:t>
      </w:r>
      <w:r>
        <w:rPr>
          <w:rFonts w:ascii="Times New Roman" w:hAnsi="Times New Roman"/>
          <w:b/>
          <w:i w:val="false"/>
          <w:color w:val="000000"/>
          <w:sz w:val="22"/>
        </w:rPr>
        <w:t xml:space="preserve">Operations plans and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123.5(1)</w:t>
      </w:r>
      <w:r>
        <w:rPr>
          <w:rFonts w:ascii="Times New Roman" w:hAnsi="Times New Roman"/>
          <w:b w:val="false"/>
          <w:i w:val="false"/>
          <w:color w:val="000000"/>
          <w:sz w:val="22"/>
        </w:rPr>
        <w:t> </w:t>
      </w:r>
      <w:r>
        <w:rPr>
          <w:rFonts w:ascii="Times New Roman" w:hAnsi="Times New Roman"/>
          <w:b w:val="false"/>
          <w:i w:val="false"/>
          <w:color w:val="000000"/>
          <w:sz w:val="22"/>
        </w:rPr>
        <w:t>RCCs and satellite facilities must each prepare and maintain on site a current plan of operations.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123.5(2)</w:t>
      </w:r>
      <w:r>
        <w:rPr>
          <w:rFonts w:ascii="Times New Roman" w:hAnsi="Times New Roman"/>
          <w:b w:val="false"/>
          <w:i w:val="false"/>
          <w:color w:val="000000"/>
          <w:sz w:val="22"/>
        </w:rPr>
        <w:t> </w:t>
      </w:r>
      <w:r>
        <w:rPr>
          <w:rFonts w:ascii="Times New Roman" w:hAnsi="Times New Roman"/>
          <w:b w:val="false"/>
          <w:i w:val="false"/>
          <w:color w:val="000000"/>
          <w:sz w:val="22"/>
        </w:rPr>
        <w:t>Operations plan. The operations plan shall include, at a minimum,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Schedule of operations, including hours of operation for RCCs or satellite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Site selection procedures for mobile unit collections.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Standard receiving procedures for HHM and VSQG HW.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Procedures for managing unknown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Procedures for handling open or leaking containers.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Procedures for managing large quantities of wastes.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Recycling and reuse procedures for usable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Disposal of nonhazardous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Personal protection equipment (PPE).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Initial training requirements and continuing education of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An emergency response plan, such as the facility’s response to spills, fires or weather-related events.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3995C</w:t>
      </w:r>
      <w:r>
        <w:rPr>
          <w:rFonts w:ascii="Times New Roman" w:hAnsi="Times New Roman"/>
          <w:b w:val="false"/>
          <w:i w:val="false"/>
          <w:color w:val="000000"/>
          <w:sz w:val="16"/>
        </w:rPr>
        <w:t>, IAB 9/12/18, effective 10/17/18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567—123.6</w:t>
      </w:r>
      <w:r>
        <w:rPr>
          <w:rFonts w:ascii="Times New Roman" w:hAnsi="Times New Roman"/>
          <w:b/>
          <w:i w:val="false"/>
          <w:color w:val="000000"/>
          <w:sz w:val="22"/>
        </w:rPr>
        <w:t xml:space="preserve">(455F) </w:t>
      </w:r>
      <w:r>
        <w:rPr>
          <w:rFonts w:ascii="Times New Roman" w:hAnsi="Times New Roman"/>
          <w:b/>
          <w:i w:val="false"/>
          <w:color w:val="000000"/>
          <w:sz w:val="22"/>
        </w:rPr>
        <w:t xml:space="preserve">Closure notification. </w:t>
      </w:r>
      <w:r>
        <w:rPr>
          <w:rFonts w:ascii="Times New Roman" w:hAnsi="Times New Roman"/>
          <w:b w:val="false"/>
          <w:i w:val="false"/>
          <w:color w:val="000000"/>
          <w:sz w:val="22"/>
        </w:rPr>
        <w:t>RCCs and satellite facilities shall each notify the department via hard-copy or electronic correspondence at least 60 calendar days prior to ceasing operations.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123.6(1)</w:t>
      </w:r>
      <w:r>
        <w:rPr>
          <w:rFonts w:ascii="Times New Roman" w:hAnsi="Times New Roman"/>
          <w:b w:val="false"/>
          <w:i w:val="false"/>
          <w:color w:val="000000"/>
          <w:sz w:val="22"/>
        </w:rPr>
        <w:t> </w:t>
      </w:r>
      <w:r>
        <w:rPr>
          <w:rFonts w:ascii="Times New Roman" w:hAnsi="Times New Roman"/>
          <w:b w:val="false"/>
          <w:i w:val="false"/>
          <w:color w:val="000000"/>
          <w:sz w:val="22"/>
        </w:rPr>
        <w:t>The notification shall include, at a minimum,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of how the RCC or satellite facility will notify the public within its service area that the RCC or satellite facility is closing and how HHM and HW from VSQGs should be managed after closure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of how all HHM, HHW and HW from VSQGs will be removed from the RCC or satellite facility and properly managed within 60 calendar days of the RCC’s or satellite facility’s ceasing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description of how final waste disposal costs will be paid.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123.6(2)</w:t>
      </w:r>
      <w:r>
        <w:rPr>
          <w:rFonts w:ascii="Times New Roman" w:hAnsi="Times New Roman"/>
          <w:b w:val="false"/>
          <w:i w:val="false"/>
          <w:color w:val="000000"/>
          <w:sz w:val="22"/>
        </w:rPr>
        <w:t> </w:t>
      </w:r>
      <w:r>
        <w:rPr>
          <w:rFonts w:ascii="Times New Roman" w:hAnsi="Times New Roman"/>
          <w:b w:val="false"/>
          <w:i w:val="false"/>
          <w:color w:val="000000"/>
          <w:sz w:val="22"/>
        </w:rPr>
        <w:t>After removal of HHW and VSQG HW, a final inspection shall be conducted by department staff.</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3995C</w:t>
      </w:r>
      <w:r>
        <w:rPr>
          <w:rFonts w:ascii="Times New Roman" w:hAnsi="Times New Roman"/>
          <w:b w:val="false"/>
          <w:i w:val="false"/>
          <w:color w:val="000000"/>
          <w:sz w:val="16"/>
        </w:rPr>
        <w:t>, IAB 9/12/18, effective 10/17/18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567—123.7</w:t>
      </w:r>
      <w:r>
        <w:rPr>
          <w:rFonts w:ascii="Times New Roman" w:hAnsi="Times New Roman"/>
          <w:b/>
          <w:i w:val="false"/>
          <w:color w:val="000000"/>
          <w:sz w:val="22"/>
        </w:rPr>
        <w:t xml:space="preserve">(455F) </w:t>
      </w:r>
      <w:r>
        <w:rPr>
          <w:rFonts w:ascii="Times New Roman" w:hAnsi="Times New Roman"/>
          <w:b/>
          <w:i w:val="false"/>
          <w:color w:val="000000"/>
          <w:sz w:val="22"/>
        </w:rPr>
        <w:t xml:space="preserve">Regional collection center reporting requirements. </w:t>
      </w:r>
      <w:r>
        <w:rPr>
          <w:rFonts w:ascii="Times New Roman" w:hAnsi="Times New Roman"/>
          <w:b w:val="false"/>
          <w:i w:val="false"/>
          <w:color w:val="000000"/>
          <w:sz w:val="22"/>
        </w:rPr>
        <w:t>On a form supplied by the department, each RCC shall submit to the department a correctly completed RCC semiannual report. The report shall include, but not be limited to, the pounds of materials managed through a reuse program, by hazardous waste contractors, and by nonhazardous waste contractors. All hazardous waste contractor invoices shall be attached. Such invoices shall depict hazardous material types, net weight of hazardous materials, and associated collection and disposal costs charged by the hazardous waste contractor to the RCC. RCC semiannual reports shall be submitted by September 15 for the portion of the current calendar year January 1 through June 30, and by March 15 for the portion of the previous calendar year July 1 through December 31.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3995C</w:t>
      </w:r>
      <w:r>
        <w:rPr>
          <w:rFonts w:ascii="Times New Roman" w:hAnsi="Times New Roman"/>
          <w:b w:val="false"/>
          <w:i w:val="false"/>
          <w:color w:val="000000"/>
          <w:sz w:val="16"/>
        </w:rPr>
        <w:t>, IAB 9/12/18, effective 10/17/18</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4">
        <w:r>
          <w:rPr>
            <w:rStyle w:val="Hyperlink"/>
            <w:rFonts w:ascii="Times New Roman" w:hAnsi="Times New Roman"/>
            <w:b w:val="false"/>
            <w:i w:val="false"/>
            <w:color w:val="000000"/>
            <w:sz w:val="22"/>
          </w:rPr>
          <w:t>455F</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1/27/06, Notice 11/9/05—published 2/15/06, effective 3/22/06]</w:t>
      </w:r>
    </w:p>
    <w:p>
      <w:pPr>
        <w:spacing w:before="0" w:after="0"/>
        <w:ind w:left="120"/>
        <w:jc w:val="center"/>
      </w:pPr>
      <w:r>
        <w:rPr>
          <w:rFonts w:ascii="Times New Roman" w:hAnsi="Times New Roman"/>
          <w:b w:val="false"/>
          <w:i w:val="false"/>
          <w:color w:val="000000"/>
          <w:sz w:val="21"/>
        </w:rPr>
        <w:t>[Filed 9/6/07, Notice 1/3/07—published 9/26/07, effective 10/31/07]</w:t>
      </w:r>
    </w:p>
    <w:p>
      <w:pPr>
        <w:spacing w:before="0" w:after="0"/>
        <w:ind w:left="120"/>
        <w:jc w:val="center"/>
      </w:pPr>
      <w:r>
        <w:rPr>
          <w:rFonts w:ascii="Times New Roman" w:hAnsi="Times New Roman"/>
          <w:b w:val="false"/>
          <w:i w:val="false"/>
          <w:color w:val="000000"/>
          <w:sz w:val="21"/>
        </w:rPr>
        <w:t>[Filed ARC 8518B</w:t>
      </w:r>
      <w:r>
        <w:rPr>
          <w:rFonts w:ascii="Times New Roman" w:hAnsi="Times New Roman"/>
          <w:b w:val="false"/>
          <w:i w:val="false"/>
          <w:color w:val="000000"/>
          <w:sz w:val="21"/>
        </w:rPr>
        <w:t xml:space="preserve"> (Notice ARC 8313B, IAB 11/18/09)</w:t>
      </w:r>
      <w:r>
        <w:rPr>
          <w:rFonts w:ascii="Times New Roman" w:hAnsi="Times New Roman"/>
          <w:b w:val="false"/>
          <w:i w:val="false"/>
          <w:color w:val="000000"/>
          <w:sz w:val="21"/>
        </w:rPr>
        <w:t>, IAB 2/10/10, effective 3/17/10]</w:t>
      </w:r>
    </w:p>
    <w:p>
      <w:pPr>
        <w:spacing w:before="0" w:after="0"/>
        <w:ind w:left="120"/>
        <w:jc w:val="center"/>
      </w:pPr>
      <w:r>
        <w:rPr>
          <w:rFonts w:ascii="Times New Roman" w:hAnsi="Times New Roman"/>
          <w:b w:val="false"/>
          <w:i w:val="false"/>
          <w:color w:val="000000"/>
          <w:sz w:val="21"/>
        </w:rPr>
        <w:t>[Filed ARC 3995C</w:t>
      </w:r>
      <w:r>
        <w:rPr>
          <w:rFonts w:ascii="Times New Roman" w:hAnsi="Times New Roman"/>
          <w:b w:val="false"/>
          <w:i w:val="false"/>
          <w:color w:val="000000"/>
          <w:sz w:val="21"/>
        </w:rPr>
        <w:t xml:space="preserve"> (Notice ARC 3826C, IAB 6/6/18)</w:t>
      </w:r>
      <w:r>
        <w:rPr>
          <w:rFonts w:ascii="Times New Roman" w:hAnsi="Times New Roman"/>
          <w:b w:val="false"/>
          <w:i w:val="false"/>
          <w:color w:val="000000"/>
          <w:sz w:val="21"/>
        </w:rPr>
        <w:t>, IAB 9/12/18, effective 10/17/18]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5B.411.pdf" Type="http://schemas.openxmlformats.org/officeDocument/2006/relationships/hyperlink" Id="rId5"/>
    <Relationship TargetMode="External" Target="https://www.legis.iowa.gov/docs/ico/chapter/455F.1.pdf" Type="http://schemas.openxmlformats.org/officeDocument/2006/relationships/hyperlink" Id="rId6"/>
    <Relationship TargetMode="External" Target="https://www.legis.iowa.gov/docs/ico/chapter/455F.1.pdf" Type="http://schemas.openxmlformats.org/officeDocument/2006/relationships/hyperlink" Id="rId7"/>
    <Relationship TargetMode="External" Target="https://www.legis.iowa.gov/docs/ico/chapter/455F.1.pdf" Type="http://schemas.openxmlformats.org/officeDocument/2006/relationships/hyperlink" Id="rId8"/>
    <Relationship TargetMode="External" Target="https://www.legis.iowa.gov/docs/ico/chapter/455F.1.pdf" Type="http://schemas.openxmlformats.org/officeDocument/2006/relationships/hyperlink" Id="rId9"/>
    <Relationship TargetMode="External" Target="https://www.legis.iowa.gov/docs/ico/chapter/455J.7.pdf" Type="http://schemas.openxmlformats.org/officeDocument/2006/relationships/hyperlink" Id="rId10"/>
    <Relationship TargetMode="External" Target="https://www.legis.iowa.gov/docs/ico/chapter/455B.pdf" Type="http://schemas.openxmlformats.org/officeDocument/2006/relationships/hyperlink" Id="rId11"/>
    <Relationship TargetMode="External" Target="https://www.legis.iowa.gov/docs/ico/chapter/455D.pdf" Type="http://schemas.openxmlformats.org/officeDocument/2006/relationships/hyperlink" Id="rId12"/>
    <Relationship TargetMode="External" Target="https://www.legis.iowa.gov/docs/ico/chapter/455F.pdf" Type="http://schemas.openxmlformats.org/officeDocument/2006/relationships/hyperlink" Id="rId13"/>
    <Relationship TargetMode="External" Target="https://www.legis.iowa.gov/docs/ico/chapter/455F.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