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gif" PartName="/word/media/document_image_rId15.gif"/>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121</w:t>
      </w:r>
    </w:p>
    <w:p>
      <w:pPr>
        <w:spacing w:before="0" w:after="0"/>
        <w:ind w:left="120"/>
        <w:jc w:val="center"/>
      </w:pPr>
      <w:r>
        <w:rPr>
          <w:rFonts w:ascii="Times New Roman" w:hAnsi="Times New Roman"/>
          <w:b w:val="false"/>
          <w:i w:val="false"/>
          <w:color w:val="000000"/>
          <w:sz w:val="21"/>
        </w:rPr>
        <w:t>LAND APPLICATION OF WASTES</w:t>
      </w:r>
    </w:p>
    <w:p>
      <w:pPr>
        <w:spacing w:before="0" w:after="0"/>
        <w:ind w:left="120"/>
        <w:jc w:val="center"/>
      </w:pPr>
      <w:r>
        <w:rPr>
          <w:rFonts w:ascii="Times New Roman" w:hAnsi="Times New Roman"/>
          <w:b w:val="false"/>
          <w:i w:val="false"/>
          <w:color w:val="000000"/>
          <w:sz w:val="14"/>
        </w:rPr>
        <w:t>[Prior to 7/1/83, DEQ Ch 33]</w:t>
      </w:r>
    </w:p>
    <w:p>
      <w:pPr>
        <w:spacing w:before="0" w:after="0"/>
        <w:ind w:left="120"/>
        <w:jc w:val="center"/>
      </w:pPr>
      <w:r>
        <w:rPr>
          <w:rFonts w:ascii="Times New Roman" w:hAnsi="Times New Roman"/>
          <w:b w:val="false"/>
          <w:i w:val="false"/>
          <w:color w:val="000000"/>
          <w:sz w:val="14"/>
        </w:rPr>
        <w:t>[Prior to 12/3/86, Water, Air and Waste Management[900]]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567—121.1</w:t>
      </w:r>
      <w:r>
        <w:rPr>
          <w:rFonts w:ascii="Times New Roman" w:hAnsi="Times New Roman"/>
          <w:b/>
          <w:i w:val="false"/>
          <w:color w:val="000000"/>
          <w:sz w:val="22"/>
        </w:rPr>
        <w:t xml:space="preserve">(455B,17A) </w:t>
      </w:r>
      <w:r>
        <w:rPr>
          <w:rFonts w:ascii="Times New Roman" w:hAnsi="Times New Roman"/>
          <w:b/>
          <w:i w:val="false"/>
          <w:color w:val="000000"/>
          <w:sz w:val="22"/>
        </w:rPr>
        <w:t xml:space="preserve">Scope of title. </w:t>
      </w:r>
      <w:r>
        <w:rPr>
          <w:rFonts w:ascii="Times New Roman" w:hAnsi="Times New Roman"/>
          <w:b w:val="false"/>
          <w:i w:val="false"/>
          <w:color w:val="000000"/>
          <w:sz w:val="22"/>
        </w:rPr>
        <w:t>The department has jurisdiction over the disposal of solid waste including the land application of those wastes. The land application of solid wastes requires a specific permit from the department, unless certain conditions are met which warrant that an exemption be granted.</w:t>
      </w:r>
    </w:p>
    <w:p>
      <w:pPr>
        <w:spacing w:before="0" w:after="0"/>
        <w:ind w:left="120"/>
        <w:jc w:val="both"/>
      </w:pPr>
      <w:r>
        <w:rPr>
          <w:rFonts w:ascii="Times New Roman" w:hAnsi="Times New Roman"/>
          <w:b w:val="false"/>
          <w:i w:val="false"/>
          <w:color w:val="000000"/>
          <w:sz w:val="22"/>
        </w:rPr>
        <w:t>This chapter provides general definitions applicable in this title and rules of practice, including forms, applicable to the public in the department’s administration of the subject matter of this title.</w:t>
      </w:r>
    </w:p>
    <w:p>
      <w:pPr>
        <w:spacing w:before="0" w:after="0"/>
        <w:ind w:left="120"/>
        <w:jc w:val="both"/>
      </w:pPr>
      <w:r>
        <w:rPr>
          <w:rFonts w:ascii="Times New Roman" w:hAnsi="Times New Roman"/>
          <w:b w:val="false"/>
          <w:i w:val="false"/>
          <w:color w:val="000000"/>
          <w:sz w:val="22"/>
        </w:rPr>
        <w:t>This chapter contains rules and regulations specifying the types of waste to which the chapter applies, the circumstances under which no permit is required for land application, and the permit requirements for those activities not exempted.</w:t>
      </w:r>
    </w:p>
    <w:p>
      <w:pPr>
        <w:spacing w:before="0" w:after="0"/>
        <w:ind w:left="120"/>
        <w:jc w:val="both"/>
      </w:pPr>
      <w:r>
        <w:rPr>
          <w:rFonts w:ascii="Times New Roman" w:hAnsi="Times New Roman"/>
          <w:b/>
          <w:i w:val="false"/>
          <w:color w:val="000000"/>
          <w:sz w:val="22"/>
        </w:rPr>
        <w:t>567—121.2</w:t>
      </w:r>
      <w:r>
        <w:rPr>
          <w:rFonts w:ascii="Times New Roman" w:hAnsi="Times New Roman"/>
          <w:b/>
          <w:i w:val="false"/>
          <w:color w:val="000000"/>
          <w:sz w:val="22"/>
        </w:rPr>
        <w:t xml:space="preserve">(455B)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“Industrial sludge” </w:t>
      </w:r>
      <w:r>
        <w:rPr>
          <w:rFonts w:ascii="Times New Roman" w:hAnsi="Times New Roman"/>
          <w:b w:val="false"/>
          <w:i w:val="false"/>
          <w:color w:val="000000"/>
          <w:sz w:val="22"/>
        </w:rPr>
        <w:t>means any sludge produced by industrial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“Land application” </w:t>
      </w:r>
      <w:r>
        <w:rPr>
          <w:rFonts w:ascii="Times New Roman" w:hAnsi="Times New Roman"/>
          <w:b w:val="false"/>
          <w:i w:val="false"/>
          <w:color w:val="000000"/>
          <w:sz w:val="22"/>
        </w:rPr>
        <w:t>means a method through which sludge is applied to the ground surface. Land application may include subsurface injection.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“Sewage sludge” </w:t>
      </w:r>
      <w:r>
        <w:rPr>
          <w:rFonts w:ascii="Times New Roman" w:hAnsi="Times New Roman"/>
          <w:b w:val="false"/>
          <w:i w:val="false"/>
          <w:color w:val="000000"/>
          <w:sz w:val="22"/>
        </w:rPr>
        <w:t xml:space="preserve">is defined in </w:t>
      </w:r>
      <w:hyperlink r:id="rId5">
        <w:r>
          <w:rPr>
            <w:rStyle w:val="Hyperlink"/>
            <w:rFonts w:ascii="Times New Roman" w:hAnsi="Times New Roman"/>
            <w:b w:val="false"/>
            <w:i w:val="false"/>
            <w:color w:val="000000"/>
            <w:sz w:val="22"/>
          </w:rPr>
          <w:t>567—Chapter 67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“Sludge” </w:t>
      </w:r>
      <w:r>
        <w:rPr>
          <w:rFonts w:ascii="Times New Roman" w:hAnsi="Times New Roman"/>
          <w:b w:val="false"/>
          <w:i w:val="false"/>
          <w:color w:val="000000"/>
          <w:sz w:val="22"/>
        </w:rPr>
        <w:t>means any solid, semisolid, or liquid waste generated from a commercial or industrial wastewater treatment plant, water supply treatment plant or air pollution control facility or any other such waste having similar characteristics and effects.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“Solid waste” </w:t>
      </w:r>
      <w:r>
        <w:rPr>
          <w:rFonts w:ascii="Times New Roman" w:hAnsi="Times New Roman"/>
          <w:b w:val="false"/>
          <w:i w:val="false"/>
          <w:color w:val="000000"/>
          <w:sz w:val="22"/>
        </w:rPr>
        <w:t xml:space="preserve">means garbage, refuse, rubbish, and other similar discarded solid or semisolid materials, including but not limited to such materials resulting from industrial, commercial, agricultural, and domestic activities. Solid waste may include vehicles, as defined by Iowa Code section </w:t>
      </w:r>
      <w:hyperlink r:id="rId6">
        <w:r>
          <w:rPr>
            <w:rStyle w:val="Hyperlink"/>
            <w:rFonts w:ascii="Times New Roman" w:hAnsi="Times New Roman"/>
            <w:b w:val="false"/>
            <w:i w:val="false"/>
            <w:color w:val="000000"/>
            <w:sz w:val="22"/>
          </w:rPr>
          <w:t>321.1, subsection 1</w:t>
        </w:r>
      </w:hyperlink>
      <w:r>
        <w:rPr>
          <w:rFonts w:ascii="Times New Roman" w:hAnsi="Times New Roman"/>
          <w:b w:val="false"/>
          <w:i w:val="false"/>
          <w:color w:val="000000"/>
          <w:sz w:val="22"/>
        </w:rPr>
        <w:t>. Nothing herein shall be construed as prohibiting the use of dirt, stone, brick, or similar inorganic material for fill, landscaping, excavation, or grading at places other than a sanitary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“Stabilized sludge” </w:t>
      </w:r>
      <w:r>
        <w:rPr>
          <w:rFonts w:ascii="Times New Roman" w:hAnsi="Times New Roman"/>
          <w:b w:val="false"/>
          <w:i w:val="false"/>
          <w:color w:val="000000"/>
          <w:sz w:val="22"/>
        </w:rPr>
        <w:t>means sludge that has been processed to a point where it has the ability to resist further change, produces minimal odor, and has achieved a substantial reduction in the pathogenic organism content. (The department recognizes principles of stabilization other than the conventional biological processes. Whether these processes produce a stabilized sludge will be evaluated on an individual basis.)</w:t>
      </w:r>
    </w:p>
    <w:p>
      <w:pPr>
        <w:spacing w:before="0" w:after="0"/>
        <w:ind w:left="120"/>
        <w:jc w:val="both"/>
      </w:pPr>
      <w:r>
        <w:rPr>
          <w:rFonts w:ascii="Times New Roman" w:hAnsi="Times New Roman"/>
          <w:b/>
          <w:i w:val="false"/>
          <w:color w:val="000000"/>
          <w:sz w:val="22"/>
        </w:rPr>
        <w:t>567—121.3</w:t>
      </w:r>
      <w:r>
        <w:rPr>
          <w:rFonts w:ascii="Times New Roman" w:hAnsi="Times New Roman"/>
          <w:b/>
          <w:i w:val="false"/>
          <w:color w:val="000000"/>
          <w:sz w:val="22"/>
        </w:rPr>
        <w:t xml:space="preserve">(455B) </w:t>
      </w:r>
      <w:r>
        <w:rPr>
          <w:rFonts w:ascii="Times New Roman" w:hAnsi="Times New Roman"/>
          <w:b/>
          <w:i w:val="false"/>
          <w:color w:val="000000"/>
          <w:sz w:val="22"/>
        </w:rPr>
        <w:t xml:space="preserve">Application for permits and forms. </w:t>
      </w:r>
      <w:r>
        <w:rPr>
          <w:rFonts w:ascii="Times New Roman" w:hAnsi="Times New Roman"/>
          <w:b w:val="false"/>
          <w:i w:val="false"/>
          <w:color w:val="000000"/>
          <w:sz w:val="22"/>
        </w:rPr>
        <w:t xml:space="preserve">Any private or public person or agent desiring to secure a permit for any land application of solid waste not exempted in rules </w:t>
      </w:r>
      <w:hyperlink r:id="rId7">
        <w:r>
          <w:rPr>
            <w:rStyle w:val="Hyperlink"/>
            <w:rFonts w:ascii="Times New Roman" w:hAnsi="Times New Roman"/>
            <w:b w:val="false"/>
            <w:i w:val="false"/>
            <w:color w:val="000000"/>
            <w:sz w:val="22"/>
          </w:rPr>
          <w:t>121.5</w:t>
        </w:r>
      </w:hyperlink>
      <w:r>
        <w:rPr>
          <w:rFonts w:ascii="Times New Roman" w:hAnsi="Times New Roman"/>
          <w:b w:val="false"/>
          <w:i w:val="false"/>
          <w:color w:val="000000"/>
          <w:sz w:val="22"/>
        </w:rPr>
        <w:t xml:space="preserve">(455B) and </w:t>
      </w:r>
      <w:hyperlink r:id="rId8">
        <w:r>
          <w:rPr>
            <w:rStyle w:val="Hyperlink"/>
            <w:rFonts w:ascii="Times New Roman" w:hAnsi="Times New Roman"/>
            <w:b w:val="false"/>
            <w:i w:val="false"/>
            <w:color w:val="000000"/>
            <w:sz w:val="22"/>
          </w:rPr>
          <w:t>121.6</w:t>
        </w:r>
      </w:hyperlink>
      <w:r>
        <w:rPr>
          <w:rFonts w:ascii="Times New Roman" w:hAnsi="Times New Roman"/>
          <w:b w:val="false"/>
          <w:i w:val="false"/>
          <w:color w:val="000000"/>
          <w:sz w:val="22"/>
        </w:rPr>
        <w:t>(455B) shall file a properly completed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121.3(1)</w:t>
      </w:r>
      <w:r>
        <w:rPr>
          <w:rFonts w:ascii="Times New Roman" w:hAnsi="Times New Roman"/>
          <w:b w:val="false"/>
          <w:i w:val="false"/>
          <w:color w:val="000000"/>
          <w:sz w:val="22"/>
        </w:rPr>
        <w:t> </w:t>
      </w:r>
      <w:r>
        <w:rPr>
          <w:rFonts w:ascii="Times New Roman" w:hAnsi="Times New Roman"/>
          <w:b w:val="false"/>
          <w:i w:val="false"/>
          <w:color w:val="000000"/>
          <w:sz w:val="22"/>
        </w:rPr>
        <w:t>A properly completed application shall consist of the application form with all blanks filled in by the applicant, all signatures, and all documents and information required by the land application rules. Application forms may be obtained from:</w:t>
      </w:r>
    </w:p>
    <w:p>
      <w:pPr>
        <w:spacing w:before="0" w:after="0"/>
        <w:ind w:left="120"/>
        <w:jc w:val="both"/>
      </w:pPr>
      <w:r>
        <w:rPr>
          <w:rFonts w:ascii="Times New Roman" w:hAnsi="Times New Roman"/>
          <w:b w:val="false"/>
          <w:i w:val="false"/>
          <w:color w:val="000000"/>
          <w:sz w:val="22"/>
        </w:rPr>
        <w:t>Environmental Services Division</w:t>
      </w:r>
    </w:p>
    <w:p>
      <w:pPr>
        <w:spacing w:before="0" w:after="0"/>
        <w:ind w:left="120"/>
        <w:jc w:val="both"/>
      </w:pPr>
      <w:r>
        <w:rPr>
          <w:rFonts w:ascii="Times New Roman" w:hAnsi="Times New Roman"/>
          <w:b w:val="false"/>
          <w:i w:val="false"/>
          <w:color w:val="000000"/>
          <w:sz w:val="22"/>
        </w:rPr>
        <w:t>Iowa Department of Natural Resources</w:t>
      </w:r>
    </w:p>
    <w:p>
      <w:pPr>
        <w:spacing w:before="0" w:after="0"/>
        <w:ind w:left="120"/>
        <w:jc w:val="both"/>
      </w:pPr>
      <w:r>
        <w:rPr>
          <w:rFonts w:ascii="Times New Roman" w:hAnsi="Times New Roman"/>
          <w:b w:val="false"/>
          <w:i w:val="false"/>
          <w:color w:val="000000"/>
          <w:sz w:val="22"/>
        </w:rPr>
        <w:t>Henry A. Wallace Building</w:t>
      </w:r>
    </w:p>
    <w:p>
      <w:pPr>
        <w:spacing w:before="0" w:after="0"/>
        <w:ind w:left="120"/>
        <w:jc w:val="both"/>
      </w:pPr>
      <w:r>
        <w:rPr>
          <w:rFonts w:ascii="Times New Roman" w:hAnsi="Times New Roman"/>
          <w:b w:val="false"/>
          <w:i w:val="false"/>
          <w:color w:val="000000"/>
          <w:sz w:val="22"/>
        </w:rPr>
        <w:t>900 East Grand</w:t>
      </w:r>
    </w:p>
    <w:p>
      <w:pPr>
        <w:spacing w:before="0" w:after="0"/>
        <w:ind w:left="120"/>
        <w:jc w:val="both"/>
      </w:pPr>
      <w:r>
        <w:rPr>
          <w:rFonts w:ascii="Times New Roman" w:hAnsi="Times New Roman"/>
          <w:b w:val="false"/>
          <w:i w:val="false"/>
          <w:color w:val="000000"/>
          <w:sz w:val="22"/>
        </w:rPr>
        <w:t>Des Moines, Iowa 50319</w:t>
      </w:r>
    </w:p>
    <w:p>
      <w:pPr>
        <w:spacing w:before="0" w:after="0"/>
        <w:ind w:left="120"/>
        <w:jc w:val="both"/>
      </w:pPr>
      <w:r>
        <w:rPr>
          <w:rFonts w:ascii="Times New Roman" w:hAnsi="Times New Roman"/>
          <w:b w:val="false"/>
          <w:i w:val="false"/>
          <w:color w:val="000000"/>
          <w:sz w:val="22"/>
        </w:rPr>
        <w:t>Properly completed forms should be submitted in accordance with the instructions for the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121.3(2)</w:t>
      </w:r>
      <w:r>
        <w:rPr>
          <w:rFonts w:ascii="Times New Roman" w:hAnsi="Times New Roman"/>
          <w:b w:val="false"/>
          <w:i w:val="false"/>
          <w:color w:val="000000"/>
          <w:sz w:val="22"/>
        </w:rPr>
        <w:t> </w:t>
      </w:r>
      <w:r>
        <w:rPr>
          <w:rFonts w:ascii="Times New Roman" w:hAnsi="Times New Roman"/>
          <w:b w:val="false"/>
          <w:i w:val="false"/>
          <w:color w:val="000000"/>
          <w:sz w:val="22"/>
        </w:rPr>
        <w:t>Application for a land application permit shall be made on Form 43, “Application for a Sanitary Disposal Project Permit.”</w:t>
      </w:r>
    </w:p>
    <w:p>
      <w:pPr>
        <w:spacing w:before="0" w:after="0"/>
        <w:ind w:left="120"/>
        <w:jc w:val="both"/>
      </w:pPr>
      <w:r>
        <w:rPr>
          <w:rFonts w:ascii="Times New Roman" w:hAnsi="Times New Roman"/>
          <w:b/>
          <w:i w:val="false"/>
          <w:color w:val="000000"/>
          <w:sz w:val="22"/>
        </w:rPr>
        <w:t>567—121.4</w:t>
      </w:r>
      <w:r>
        <w:rPr>
          <w:rFonts w:ascii="Times New Roman" w:hAnsi="Times New Roman"/>
          <w:b/>
          <w:i w:val="false"/>
          <w:color w:val="000000"/>
          <w:sz w:val="22"/>
        </w:rPr>
        <w:t xml:space="preserve">(455B) </w:t>
      </w:r>
      <w:r>
        <w:rPr>
          <w:rFonts w:ascii="Times New Roman" w:hAnsi="Times New Roman"/>
          <w:b/>
          <w:i w:val="false"/>
          <w:color w:val="000000"/>
          <w:sz w:val="22"/>
        </w:rPr>
        <w:t xml:space="preserve">Land application of solid wastes.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121.4(1)</w:t>
      </w:r>
      <w:r>
        <w:rPr>
          <w:rFonts w:ascii="Times New Roman" w:hAnsi="Times New Roman"/>
          <w:b w:val="false"/>
          <w:i w:val="false"/>
          <w:color w:val="000000"/>
          <w:sz w:val="22"/>
        </w:rPr>
        <w:t> </w:t>
      </w:r>
      <w:r>
        <w:rPr>
          <w:rFonts w:ascii="Times New Roman" w:hAnsi="Times New Roman"/>
          <w:b w:val="false"/>
          <w:i w:val="false"/>
          <w:color w:val="000000"/>
          <w:sz w:val="22"/>
        </w:rPr>
        <w:t xml:space="preserve">General. This chapter shall apply to the land application of solid wastes, except domestic septage, sewage sludge, animal manure, animal bedding and crop residue. Land application of animal manure should be in conformance with the provisions of </w:t>
      </w:r>
      <w:hyperlink r:id="rId9">
        <w:r>
          <w:rPr>
            <w:rStyle w:val="Hyperlink"/>
            <w:rFonts w:ascii="Times New Roman" w:hAnsi="Times New Roman"/>
            <w:b w:val="false"/>
            <w:i w:val="false"/>
            <w:color w:val="000000"/>
            <w:sz w:val="22"/>
          </w:rPr>
          <w:t>567—Chapter 65</w:t>
        </w:r>
      </w:hyperlink>
      <w:r>
        <w:rPr>
          <w:rFonts w:ascii="Times New Roman" w:hAnsi="Times New Roman"/>
          <w:b w:val="false"/>
          <w:i w:val="false"/>
          <w:color w:val="000000"/>
          <w:sz w:val="22"/>
        </w:rPr>
        <w:t xml:space="preserve">. Land application of water supply sludge and certain other approved wastes is governed by </w:t>
      </w:r>
      <w:hyperlink r:id="rId10">
        <w:r>
          <w:rPr>
            <w:rStyle w:val="Hyperlink"/>
            <w:rFonts w:ascii="Times New Roman" w:hAnsi="Times New Roman"/>
            <w:b w:val="false"/>
            <w:i w:val="false"/>
            <w:color w:val="000000"/>
            <w:sz w:val="22"/>
          </w:rPr>
          <w:t>121.5(455B)</w:t>
        </w:r>
      </w:hyperlink>
      <w:r>
        <w:rPr>
          <w:rFonts w:ascii="Times New Roman" w:hAnsi="Times New Roman"/>
          <w:b w:val="false"/>
          <w:i w:val="false"/>
          <w:color w:val="000000"/>
          <w:sz w:val="22"/>
        </w:rPr>
        <w:t xml:space="preserve">. Land application of other waste without a permit is governed by </w:t>
      </w:r>
      <w:hyperlink r:id="rId11">
        <w:r>
          <w:rPr>
            <w:rStyle w:val="Hyperlink"/>
            <w:rFonts w:ascii="Times New Roman" w:hAnsi="Times New Roman"/>
            <w:b w:val="false"/>
            <w:i w:val="false"/>
            <w:color w:val="000000"/>
            <w:sz w:val="22"/>
          </w:rPr>
          <w:t>121.6</w:t>
        </w:r>
      </w:hyperlink>
      <w:r>
        <w:rPr>
          <w:rFonts w:ascii="Times New Roman" w:hAnsi="Times New Roman"/>
          <w:b w:val="false"/>
          <w:i w:val="false"/>
          <w:color w:val="000000"/>
          <w:sz w:val="22"/>
        </w:rPr>
        <w:t xml:space="preserve">(455B). Land application of wastes which require a permit is governed by </w:t>
      </w:r>
      <w:hyperlink r:id="rId12">
        <w:r>
          <w:rPr>
            <w:rStyle w:val="Hyperlink"/>
            <w:rFonts w:ascii="Times New Roman" w:hAnsi="Times New Roman"/>
            <w:b w:val="false"/>
            <w:i w:val="false"/>
            <w:color w:val="000000"/>
            <w:sz w:val="22"/>
          </w:rPr>
          <w:t>121.7</w:t>
        </w:r>
      </w:hyperlink>
      <w:r>
        <w:rPr>
          <w:rFonts w:ascii="Times New Roman" w:hAnsi="Times New Roman"/>
          <w:b w:val="false"/>
          <w:i w:val="false"/>
          <w:color w:val="000000"/>
          <w:sz w:val="22"/>
        </w:rPr>
        <w:t xml:space="preserve">(455B). These rules establish permit requirements and exemptions for home and crop use and general exemptions for other wastes, contamination levels and other requirements for the disposal of solid wastes by land application. Land application of sewage sludge is governed by </w:t>
      </w:r>
      <w:hyperlink r:id="rId13">
        <w:r>
          <w:rPr>
            <w:rStyle w:val="Hyperlink"/>
            <w:rFonts w:ascii="Times New Roman" w:hAnsi="Times New Roman"/>
            <w:b w:val="false"/>
            <w:i w:val="false"/>
            <w:color w:val="000000"/>
            <w:sz w:val="22"/>
          </w:rPr>
          <w:t>567—Chapter 67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121.4(2)</w:t>
      </w:r>
      <w:r>
        <w:rPr>
          <w:rFonts w:ascii="Times New Roman" w:hAnsi="Times New Roman"/>
          <w:b w:val="false"/>
          <w:i w:val="false"/>
          <w:color w:val="000000"/>
          <w:sz w:val="22"/>
        </w:rPr>
        <w:t> </w:t>
      </w:r>
      <w:r>
        <w:rPr>
          <w:rFonts w:ascii="Times New Roman" w:hAnsi="Times New Roman"/>
          <w:b w:val="false"/>
          <w:i w:val="false"/>
          <w:color w:val="000000"/>
          <w:sz w:val="22"/>
        </w:rPr>
        <w:t>Land application does not include disposal of solid waste by burial.</w:t>
      </w:r>
    </w:p>
    <w:p>
      <w:pPr>
        <w:spacing w:before="0" w:after="0"/>
        <w:ind w:left="120"/>
        <w:jc w:val="both"/>
      </w:pPr>
      <w:r>
        <w:rPr>
          <w:rFonts w:ascii="Times New Roman" w:hAnsi="Times New Roman"/>
          <w:b/>
          <w:i w:val="false"/>
          <w:color w:val="000000"/>
          <w:sz w:val="22"/>
        </w:rPr>
        <w:t>567—121.5</w:t>
      </w:r>
      <w:r>
        <w:rPr>
          <w:rFonts w:ascii="Times New Roman" w:hAnsi="Times New Roman"/>
          <w:b/>
          <w:i w:val="false"/>
          <w:color w:val="000000"/>
          <w:sz w:val="22"/>
        </w:rPr>
        <w:t xml:space="preserve">(455B) </w:t>
      </w:r>
      <w:r>
        <w:rPr>
          <w:rFonts w:ascii="Times New Roman" w:hAnsi="Times New Roman"/>
          <w:b/>
          <w:i w:val="false"/>
          <w:color w:val="000000"/>
          <w:sz w:val="22"/>
        </w:rPr>
        <w:t xml:space="preserve">Land application of solid wastes for home and certain crop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121.5(1)</w:t>
      </w:r>
      <w:r>
        <w:rPr>
          <w:rFonts w:ascii="Times New Roman" w:hAnsi="Times New Roman"/>
          <w:b w:val="false"/>
          <w:i w:val="false"/>
          <w:color w:val="000000"/>
          <w:sz w:val="22"/>
        </w:rPr>
        <w:t> </w:t>
      </w: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“Home and certain crop use” </w:t>
      </w:r>
      <w:r>
        <w:rPr>
          <w:rFonts w:ascii="Times New Roman" w:hAnsi="Times New Roman"/>
          <w:b w:val="false"/>
          <w:i w:val="false"/>
          <w:color w:val="000000"/>
          <w:sz w:val="22"/>
        </w:rPr>
        <w:t>shall include lawns, gardens, flower beds or similar areas associated with residential use. Included also is land where food crops for human consumption are raised or are made available to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“Food crops for human consumption” </w:t>
      </w:r>
      <w:r>
        <w:rPr>
          <w:rFonts w:ascii="Times New Roman" w:hAnsi="Times New Roman"/>
          <w:b w:val="false"/>
          <w:i w:val="false"/>
          <w:color w:val="000000"/>
          <w:sz w:val="22"/>
        </w:rPr>
        <w:t>are those crops that may be consumed by humans without prior heating or processing (e.g., lettuce, carrots) or those that are commonly available to the public in raw form (e.g., asparagus, squash). Food crops for human consumption exclude cereal crops.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121.5(2)</w:t>
      </w:r>
      <w:r>
        <w:rPr>
          <w:rFonts w:ascii="Times New Roman" w:hAnsi="Times New Roman"/>
          <w:b w:val="false"/>
          <w:i w:val="false"/>
          <w:color w:val="000000"/>
          <w:sz w:val="22"/>
        </w:rPr>
        <w:t> </w:t>
      </w:r>
      <w:r>
        <w:rPr>
          <w:rFonts w:ascii="Times New Roman" w:hAnsi="Times New Roman"/>
          <w:b w:val="false"/>
          <w:i w:val="false"/>
          <w:color w:val="000000"/>
          <w:sz w:val="22"/>
        </w:rPr>
        <w:t>Only the following solid wastes may be applied to land for home and certain crop uses. These and other solid wastes may be used on other agricultural lands.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Water supply sludges.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Other wastes as approved by the department based on their constituents and expected environmental impact.</w:t>
      </w:r>
    </w:p>
    <w:p>
      <w:pPr>
        <w:spacing w:before="0" w:after="0"/>
        <w:ind w:left="120"/>
        <w:jc w:val="both"/>
      </w:pPr>
      <w:r>
        <w:rPr>
          <w:rFonts w:ascii="Times New Roman" w:hAnsi="Times New Roman"/>
          <w:b/>
          <w:i w:val="false"/>
          <w:color w:val="000000"/>
          <w:sz w:val="22"/>
        </w:rPr>
        <w:t>567—121.6</w:t>
      </w:r>
      <w:r>
        <w:rPr>
          <w:rFonts w:ascii="Times New Roman" w:hAnsi="Times New Roman"/>
          <w:b/>
          <w:i w:val="false"/>
          <w:color w:val="000000"/>
          <w:sz w:val="22"/>
        </w:rPr>
        <w:t xml:space="preserve">(455B) </w:t>
      </w:r>
      <w:r>
        <w:rPr>
          <w:rFonts w:ascii="Times New Roman" w:hAnsi="Times New Roman"/>
          <w:b/>
          <w:i w:val="false"/>
          <w:color w:val="000000"/>
          <w:sz w:val="22"/>
        </w:rPr>
        <w:t xml:space="preserve">Permit exemptions. </w:t>
      </w:r>
      <w:r>
        <w:rPr>
          <w:rFonts w:ascii="Times New Roman" w:hAnsi="Times New Roman"/>
          <w:b w:val="false"/>
          <w:i w:val="false"/>
          <w:color w:val="000000"/>
          <w:sz w:val="22"/>
        </w:rPr>
        <w:t xml:space="preserve">No permit is required for land application of the following solid wastes under the following circumstances. (Land applications that do not comply with these rules must have obtained a permit under rule </w:t>
      </w:r>
      <w:hyperlink r:id="rId14">
        <w:r>
          <w:rPr>
            <w:rStyle w:val="Hyperlink"/>
            <w:rFonts w:ascii="Times New Roman" w:hAnsi="Times New Roman"/>
            <w:b w:val="false"/>
            <w:i w:val="false"/>
            <w:color w:val="000000"/>
            <w:sz w:val="22"/>
          </w:rPr>
          <w:t>121.7</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121.6(1)</w:t>
      </w:r>
      <w:r>
        <w:rPr>
          <w:rFonts w:ascii="Times New Roman" w:hAnsi="Times New Roman"/>
          <w:b w:val="false"/>
          <w:i w:val="false"/>
          <w:color w:val="000000"/>
          <w:sz w:val="22"/>
        </w:rPr>
        <w:t> </w:t>
      </w:r>
      <w:r>
        <w:rPr>
          <w:rFonts w:ascii="Times New Roman" w:hAnsi="Times New Roman"/>
          <w:b w:val="false"/>
          <w:i/>
          <w:color w:val="000000"/>
          <w:sz w:val="22"/>
        </w:rPr>
        <w:t xml:space="preserve">Solid wastes. </w:t>
      </w:r>
      <w:r>
        <w:rPr>
          <w:rFonts w:ascii="Times New Roman" w:hAnsi="Times New Roman"/>
          <w:b w:val="false"/>
          <w:i w:val="false"/>
          <w:color w:val="000000"/>
          <w:sz w:val="22"/>
        </w:rPr>
        <w:t>Solid wastes (other than petroleum contaminated soil) may be land applied without permit if the land application does not violate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Land application of sludge and other solid waste shall be conducted in accordance with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maximum application rate shall not exceed two tons per acre per year, measured on a dry weight basis. The maximum application rate shall be reduced if soil tests indicate that a two ton per acre per year rate would provide nutrient levels significantly in excess of crop nutrient requirements or would provide heavy metals concentrations in the soil at levels which may be detrimental to crop production or hazardous to human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sludge or solid waste shall be applied only to soils classified as acceptable throughout the top five feet of soil profile. The acceptability of a soil shall be determined using the following chart based on USDA soil classifications.</w:t>
      </w:r>
    </w:p>
    <w:p>
      <w:pPr>
        <w:spacing w:before="0" w:after="0"/>
        <w:ind w:left="120"/>
        <w:jc w:val="both"/>
      </w:pPr>
      <w:r>
        <w:drawing>
          <wp:inline distT="0" distB="0" distL="0" distR="0">
            <wp:extent cx="4733925" cy="3181350"/>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15"/>
                    <a:stretch>
                      <a:fillRect/>
                    </a:stretch>
                  </pic:blipFill>
                  <pic:spPr>
                    <a:xfrm>
                      <a:off x="0" y="0"/>
                      <a:ext cx="4733925" cy="3181350"/>
                    </a:xfrm>
                    <a:prstGeom prst="rect">
                      <a:avLst/>
                    </a:prstGeom>
                  </pic:spPr>
                </pic:pic>
              </a:graphicData>
            </a:graphic>
          </wp:inline>
        </w:drawing>
      </w:r>
    </w:p>
    <w:p>
      <w:pPr>
        <w:spacing w:before="0" w:after="0"/>
        <w:ind w:left="120"/>
        <w:jc w:val="center"/>
      </w:pPr>
      <w:r>
        <w:rPr>
          <w:rFonts w:ascii="Times New Roman" w:hAnsi="Times New Roman"/>
          <w:b w:val="false"/>
          <w:i w:val="false"/>
          <w:color w:val="000000"/>
          <w:sz w:val="22"/>
        </w:rPr>
        <w:t>Silt-size fraction (%)</w:t>
      </w:r>
    </w:p>
    <w:p>
      <w:pPr>
        <w:spacing w:before="0" w:after="0"/>
        <w:ind w:left="120"/>
        <w:jc w:val="center"/>
      </w:pPr>
      <w:r>
        <w:rPr>
          <w:rFonts w:ascii="Times New Roman" w:hAnsi="Times New Roman"/>
          <w:b w:val="false"/>
          <w:i w:val="false"/>
          <w:color w:val="000000"/>
          <w:sz w:val="22"/>
        </w:rPr>
        <w:t>U.S.D.A. textural classification chart, Sand size particles 2-0.05 mm, silt-size particles,</w:t>
      </w:r>
    </w:p>
    <w:p>
      <w:pPr>
        <w:spacing w:before="0" w:after="0"/>
        <w:ind w:left="120"/>
        <w:jc w:val="center"/>
      </w:pPr>
      <w:r>
        <w:rPr>
          <w:rFonts w:ascii="Times New Roman" w:hAnsi="Times New Roman"/>
          <w:b w:val="false"/>
          <w:i w:val="false"/>
          <w:color w:val="000000"/>
          <w:sz w:val="22"/>
        </w:rPr>
        <w:t>0.05-0.002 mm; and clay size particles; less than 0.002 mm.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Land application sites shall have soil pH maintained between 6.5 and 8.4 for sludges with cadmium levels up to 15 mg/kg. The soil pH may be maintained below 6.5 but not below 6.0 if the cadmium level is 8.0 mg/kg or the sludge has been stabilized to a pH of 10-12. If the soil pH is below these levels, it is acceptable to use agricultural lime to increase the pH to an acceptable level prior to land application of sludge.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department recommends that all sludge be injected on the contour or applied to the surface and mechanically incorporated into the soil as soon as possible but not later than 48 hours after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the sludge is applied to land on which the soil loss exceeds the soil loss limits established by the county soil conservation district, the sludge shall be injected on the contour or shall be applied to the surface and mechanically incorporated into soil within 48 hours of application. The sludge shall not be applied to ground having greater than 9 percent slope.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the sludge is applied to land subject to flooding more frequently than once in ten years, the sludge shall be injected or shall be applied to the surface and mechanically incorporated into the soil within 48 hours. Information on which land is subject to flooding more frequently than once in ten years is available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Sludge application on frozen or snow-covered ground should be avoided. If application on frozen or snow-covered ground is necessary, it shall be limited to land areas of less than 5 percent slope.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If sludge is applied within 200 feet of a stream, lake, sinkhole or tile line surface intake located downgradient of the land application site, it shall be injected or applied to the surface and mechanically incorporated into the soil within 48 hours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waste shall not be land applied or made available for land application if the waste contains constituents in excess of the levels specified below.</w:t>
      </w:r>
    </w:p>
    <w:tbl>
      <w:tblPr>
        <w:tblW w:w="5000" w:type="pct"/>
        <w:tblCellSpacing w:w="0" w:type="auto"/>
        <w:tblBorders>
          <w:top w:val="none"/>
          <w:left w:val="none"/>
          <w:bottom w:val="none"/>
          <w:right w:val="none"/>
          <w:insideH w:val="none"/>
          <w:insideV w:val="none"/>
        </w:tblBorders>
        <w:tblLayout w:type="fixed"/>
      </w:tblPr>
      <w:tblGrid>
        <w:gridCol w:w="2798"/>
        <w:gridCol w:w="2798"/>
        <w:gridCol w:w="2797"/>
        <w:gridCol w:w="2797"/>
      </w:tblGrid>
      <w:tr>
        <w:trPr>
          <w:trHeight w:val="210" w:hRule="atLeast"/>
        </w:trPr>
        <w:tc>
          <w:tcPr>
            <w:tcW w:w="2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Constituents</w:t>
            </w:r>
          </w:p>
        </w:tc>
        <w:tc>
          <w:tcPr>
            <w:tcW w:w="279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u w:val="single"/>
              </w:rPr>
              <w:t>Levels</w:t>
            </w:r>
          </w:p>
        </w:tc>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Cumulative Loading Rate</w:t>
            </w:r>
          </w:p>
        </w:tc>
      </w:tr>
      <w:tr>
        <w:trPr>
          <w:trHeight w:val="210" w:hRule="atLeast"/>
        </w:trPr>
        <w:tc>
          <w:tcPr>
            <w:tcW w:w="2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Arsenic</w:t>
            </w:r>
          </w:p>
        </w:tc>
        <w:tc>
          <w:tcPr>
            <w:tcW w:w="279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 mg/kg</w:t>
            </w:r>
          </w:p>
        </w:tc>
        <w:tc>
          <w:tcPr>
            <w:tcW w:w="279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 kg/ha</w:t>
            </w:r>
          </w:p>
        </w:tc>
        <w:tc>
          <w:tcPr>
            <w:tcW w:w="279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36 lb/ac</w:t>
            </w:r>
          </w:p>
        </w:tc>
      </w:tr>
      <w:tr>
        <w:trPr>
          <w:trHeight w:val="210" w:hRule="atLeast"/>
        </w:trPr>
        <w:tc>
          <w:tcPr>
            <w:tcW w:w="2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Cadmium</w:t>
            </w:r>
          </w:p>
        </w:tc>
        <w:tc>
          <w:tcPr>
            <w:tcW w:w="279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39 mg/kg</w:t>
            </w:r>
          </w:p>
        </w:tc>
        <w:tc>
          <w:tcPr>
            <w:tcW w:w="279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39 kg/ha</w:t>
            </w:r>
          </w:p>
        </w:tc>
        <w:tc>
          <w:tcPr>
            <w:tcW w:w="279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34 lb/ac</w:t>
            </w:r>
          </w:p>
        </w:tc>
      </w:tr>
      <w:tr>
        <w:trPr>
          <w:trHeight w:val="210" w:hRule="atLeast"/>
        </w:trPr>
        <w:tc>
          <w:tcPr>
            <w:tcW w:w="2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Chromium</w:t>
            </w:r>
          </w:p>
        </w:tc>
        <w:tc>
          <w:tcPr>
            <w:tcW w:w="279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1200 mg/kg</w:t>
            </w:r>
          </w:p>
        </w:tc>
        <w:tc>
          <w:tcPr>
            <w:tcW w:w="279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3000 kg/ha</w:t>
            </w:r>
          </w:p>
        </w:tc>
        <w:tc>
          <w:tcPr>
            <w:tcW w:w="279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2670 lb/ac</w:t>
            </w:r>
          </w:p>
        </w:tc>
      </w:tr>
      <w:tr>
        <w:trPr>
          <w:trHeight w:val="210" w:hRule="atLeast"/>
        </w:trPr>
        <w:tc>
          <w:tcPr>
            <w:tcW w:w="2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Copper</w:t>
            </w:r>
          </w:p>
        </w:tc>
        <w:tc>
          <w:tcPr>
            <w:tcW w:w="279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1500 mg/kg</w:t>
            </w:r>
          </w:p>
        </w:tc>
        <w:tc>
          <w:tcPr>
            <w:tcW w:w="279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1500 kg/ha</w:t>
            </w:r>
          </w:p>
        </w:tc>
        <w:tc>
          <w:tcPr>
            <w:tcW w:w="279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1335 lb/ac</w:t>
            </w:r>
          </w:p>
        </w:tc>
      </w:tr>
      <w:tr>
        <w:trPr>
          <w:trHeight w:val="210" w:hRule="atLeast"/>
        </w:trPr>
        <w:tc>
          <w:tcPr>
            <w:tcW w:w="2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Lead</w:t>
            </w:r>
          </w:p>
        </w:tc>
        <w:tc>
          <w:tcPr>
            <w:tcW w:w="279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300 mg/kg</w:t>
            </w:r>
          </w:p>
        </w:tc>
        <w:tc>
          <w:tcPr>
            <w:tcW w:w="279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300 kg/ha</w:t>
            </w:r>
          </w:p>
        </w:tc>
        <w:tc>
          <w:tcPr>
            <w:tcW w:w="279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267 lb/ac</w:t>
            </w:r>
          </w:p>
        </w:tc>
      </w:tr>
      <w:tr>
        <w:trPr>
          <w:trHeight w:val="210" w:hRule="atLeast"/>
        </w:trPr>
        <w:tc>
          <w:tcPr>
            <w:tcW w:w="2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Mercury</w:t>
            </w:r>
          </w:p>
        </w:tc>
        <w:tc>
          <w:tcPr>
            <w:tcW w:w="279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17 mg/kg</w:t>
            </w:r>
          </w:p>
        </w:tc>
        <w:tc>
          <w:tcPr>
            <w:tcW w:w="279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17 kg/ha</w:t>
            </w:r>
          </w:p>
        </w:tc>
        <w:tc>
          <w:tcPr>
            <w:tcW w:w="279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15 lb/ac</w:t>
            </w:r>
          </w:p>
        </w:tc>
      </w:tr>
      <w:tr>
        <w:trPr>
          <w:trHeight w:val="210" w:hRule="atLeast"/>
        </w:trPr>
        <w:tc>
          <w:tcPr>
            <w:tcW w:w="2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Molybdenum</w:t>
            </w:r>
          </w:p>
        </w:tc>
        <w:tc>
          <w:tcPr>
            <w:tcW w:w="279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 mg/kg</w:t>
            </w:r>
          </w:p>
        </w:tc>
        <w:tc>
          <w:tcPr>
            <w:tcW w:w="279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 kg/ha</w:t>
            </w:r>
          </w:p>
        </w:tc>
        <w:tc>
          <w:tcPr>
            <w:tcW w:w="279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 lb/ac</w:t>
            </w:r>
          </w:p>
        </w:tc>
      </w:tr>
      <w:tr>
        <w:trPr>
          <w:trHeight w:val="210" w:hRule="atLeast"/>
        </w:trPr>
        <w:tc>
          <w:tcPr>
            <w:tcW w:w="2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Nickel</w:t>
            </w:r>
          </w:p>
        </w:tc>
        <w:tc>
          <w:tcPr>
            <w:tcW w:w="279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420 mg/kg</w:t>
            </w:r>
          </w:p>
        </w:tc>
        <w:tc>
          <w:tcPr>
            <w:tcW w:w="279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420 kg/ha</w:t>
            </w:r>
          </w:p>
        </w:tc>
        <w:tc>
          <w:tcPr>
            <w:tcW w:w="279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373 lb/ac</w:t>
            </w:r>
          </w:p>
        </w:tc>
      </w:tr>
      <w:tr>
        <w:trPr>
          <w:trHeight w:val="210" w:hRule="atLeast"/>
        </w:trPr>
        <w:tc>
          <w:tcPr>
            <w:tcW w:w="2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Selenium</w:t>
            </w:r>
          </w:p>
        </w:tc>
        <w:tc>
          <w:tcPr>
            <w:tcW w:w="279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36 mg/kg</w:t>
            </w:r>
          </w:p>
        </w:tc>
        <w:tc>
          <w:tcPr>
            <w:tcW w:w="279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 kg/ha</w:t>
            </w:r>
          </w:p>
        </w:tc>
        <w:tc>
          <w:tcPr>
            <w:tcW w:w="279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89 lb/ac</w:t>
            </w:r>
          </w:p>
        </w:tc>
      </w:tr>
      <w:tr>
        <w:trPr>
          <w:trHeight w:val="210" w:hRule="atLeast"/>
        </w:trPr>
        <w:tc>
          <w:tcPr>
            <w:tcW w:w="2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Zinc</w:t>
            </w:r>
          </w:p>
        </w:tc>
        <w:tc>
          <w:tcPr>
            <w:tcW w:w="279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2800 mg/kg</w:t>
            </w:r>
          </w:p>
        </w:tc>
        <w:tc>
          <w:tcPr>
            <w:tcW w:w="279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2800 kg/ha</w:t>
            </w:r>
          </w:p>
        </w:tc>
        <w:tc>
          <w:tcPr>
            <w:tcW w:w="279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2490 lb/ac</w:t>
            </w:r>
          </w:p>
        </w:tc>
      </w:tr>
    </w:tbl>
    <w:p>
      <w:pPr>
        <w:spacing w:before="0" w:after="0"/>
        <w:ind w:left="120"/>
        <w:jc w:val="both"/>
      </w:pPr>
      <w:r>
        <w:rPr>
          <w:rFonts w:ascii="Times New Roman" w:hAnsi="Times New Roman"/>
          <w:b w:val="false"/>
          <w:i w:val="false"/>
          <w:color w:val="000000"/>
          <w:sz w:val="22"/>
        </w:rPr>
        <w:t>If the waste has other toxic constituents, the toxic constituents shall not be in excess of levels where there is a threat to human, animal, or plant life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Macronutrients.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application of nitrogen available from the waste and any other sources does not exceed the nitrogen needs of the vegetation to be grown on the site over the next year,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total application of phosphorus and potassium does not exceed the acceptable agronomic application rates for the site and crops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waste does not have a sodium absorption ratio in excess of levels where there is a threat to plant life. If high sodium absorption ratios are suspected, analytical testing may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Stabilized sludge. If land applying sludge or other wastes containing pathogens, the waste must be treated to reduce pathogen content by methods specified in </w:t>
      </w:r>
      <w:hyperlink r:id="rId16">
        <w:r>
          <w:rPr>
            <w:rStyle w:val="Hyperlink"/>
            <w:rFonts w:ascii="Times New Roman" w:hAnsi="Times New Roman"/>
            <w:b w:val="false"/>
            <w:i w:val="false"/>
            <w:color w:val="000000"/>
            <w:sz w:val="22"/>
          </w:rPr>
          <w:t>567—Chapter 67</w:t>
        </w:r>
      </w:hyperlink>
      <w:r>
        <w:rPr>
          <w:rFonts w:ascii="Times New Roman" w:hAnsi="Times New Roman"/>
          <w:b w:val="false"/>
          <w:i w:val="false"/>
          <w:color w:val="000000"/>
          <w:sz w:val="22"/>
        </w:rPr>
        <w:t xml:space="preserve"> prior to land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waste does not contain a waste having direct process stream contact with the following listed organics: Petroleum products, organic solvents, pesticides, pharmaceuticals, polychlorinated biphenyls (PCBs). The waste does not originate from a process which may release the previously mentioned compounds.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Assimilation capabilities. The waste would not be readily present in a visual analysis of a random sample collected two years following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General public health aspects. The waste is not putrescible, or is incorporated (or otherwise managed) to prevent runoff and odor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Separation distance. Waste shall not be applied within 200 feet of an occupied residence nor within 500 feet of a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Operating requirements. A generator who intends to dispose of its waste by land application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Analyze the waste to determine if any sources exist which may contribute significant quantities of potentially hazardous chemicals or other toxic substances. If any are found, the generator shall inform the department of their presence and shall analyze the waste for chemicals or substances in accordance with guidelines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Sample and analyze the waste to determine whether it meets the criteria in </w:t>
      </w:r>
      <w:hyperlink r:id="rId17">
        <w:r>
          <w:rPr>
            <w:rStyle w:val="Hyperlink"/>
            <w:rFonts w:ascii="Times New Roman" w:hAnsi="Times New Roman"/>
            <w:b w:val="false"/>
            <w:i w:val="false"/>
            <w:color w:val="000000"/>
            <w:sz w:val="22"/>
          </w:rPr>
          <w:t>121.6(1)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Unless rules for specific programs under USEPA or department authority provide otherwise, or unless other methods are approved by the department for a specific situation, samples taken and analyses made to document contamination under this chapter shall be conducted in accordance with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Samples. “A Compendium of Superfund Field Operations Methods,” USEPA, Office of Emergency and Remedial Response, Washington, D.C. 20460 (EPA/540/p-87/001, OSWER Directive 93.55.0-14).</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Analyses. “Test Methods for Evaluation of Solid Waste, Physical — Chemical Methods SW-846,” USEPA, Third Edition, November 1986, as revised through December 1988. Until the department adopts rules regarding certification of laboratories, analyses shall be conducted at a laboratory that certifies to the department that the approved analytical procedure has been utilized, or a laboratory which has been approved under EPA’s Contract Laboratory Program. Upon adoption of rules by the department regarding certification of laboratories, all analyses shall be made at a certified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Land application program. All generators intending to land apply their waste routinely shall establish and maintain in writing a long-range program for land application of its waste. This program shall be developed for a minimum period of five years and shall be updated annually. A copy of this program shall be available at the facility for inspection by the department. As a minimum this program shall contain the following information in detail for the next calendar year and in general terms for the following four years. The plan shall include, but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outline of the waste sampling schedule and procedures which will be followed to ensure that the waste being applied to land continues to meet the criteria in </w:t>
      </w:r>
      <w:hyperlink r:id="rId18">
        <w:r>
          <w:rPr>
            <w:rStyle w:val="Hyperlink"/>
            <w:rFonts w:ascii="Times New Roman" w:hAnsi="Times New Roman"/>
            <w:b w:val="false"/>
            <w:i w:val="false"/>
            <w:color w:val="000000"/>
            <w:sz w:val="22"/>
          </w:rPr>
          <w:t>121.6(1)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determination of the amount of land required to allow disposal to be conducted in accordance with the requirements of </w:t>
      </w:r>
      <w:hyperlink r:id="rId19">
        <w:r>
          <w:rPr>
            <w:rStyle w:val="Hyperlink"/>
            <w:rFonts w:ascii="Times New Roman" w:hAnsi="Times New Roman"/>
            <w:b w:val="false"/>
            <w:i w:val="false"/>
            <w:color w:val="000000"/>
            <w:sz w:val="22"/>
          </w:rPr>
          <w:t>121.6(1)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 identification of the land and waste application methods which will be used to dispose of the waste. Those areas and application methods shall be selected as necessary to ensure that land application can be conducted in accordance with the land application criteria in </w:t>
      </w:r>
      <w:hyperlink r:id="rId20">
        <w:r>
          <w:rPr>
            <w:rStyle w:val="Hyperlink"/>
            <w:rFonts w:ascii="Times New Roman" w:hAnsi="Times New Roman"/>
            <w:b w:val="false"/>
            <w:i w:val="false"/>
            <w:color w:val="000000"/>
            <w:sz w:val="22"/>
          </w:rPr>
          <w:t>121.6(1)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names of the owners and operators of all land to be used for waste disposal, and identification of any legal arrangements made relative to use of these areas. The programs should also outline any restrictions or special conditions which exist regarding use of these areas for waste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overall schedule for the disposal of the waste. This schedule should indicate the areas being used, the time of year that disposal on each area will be conducted, and the proposed application rates for each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determination of the types and capacities of the equipment required to dispose of the waste in accordance with the developed disposal schedule. The program shall also outline how the required disposal equipment will be made available and who will be responsible for conducting land disposal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determination of the volumes and types of storage and handling facilities required to allow waste disposal to be conducted in accordance with the waste disposal schedule. The program shall also outline how any required additional waste storage or handling facilities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plan to construct or obtain any additional waste storage, handling or disposal facilities or equipment which are required by the waste disposal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Other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waste is being supplied to other persons for land application, the generating facility shall inform them of the applicable requirements of the waste disposal program, </w:t>
      </w:r>
      <w:hyperlink r:id="rId21">
        <w:r>
          <w:rPr>
            <w:rStyle w:val="Hyperlink"/>
            <w:rFonts w:ascii="Times New Roman" w:hAnsi="Times New Roman"/>
            <w:b w:val="false"/>
            <w:i w:val="false"/>
            <w:color w:val="000000"/>
            <w:sz w:val="22"/>
          </w:rPr>
          <w:t>567—subrules 101.3(2)</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121.6(1)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generating facility determines that a person being supplied waste for land application is not complying with applicable requirements of the waste disposal program or the land application criteria, the generating facility shall work with them to obtain compliance with the requirements. If subsequent compliance cannot be achieved, the generating facility shall not supply additional waste to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generating facility must inform all persons involved in waste disposal operations of the potential health hazards associated with waste disposal, including informing them of the cautions and recommended practices which should be followed to minimize these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generating facility shall maintain records of sample analysis and waste disposal operations to document compliance with </w:t>
      </w:r>
      <w:hyperlink r:id="rId23">
        <w:r>
          <w:rPr>
            <w:rStyle w:val="Hyperlink"/>
            <w:rFonts w:ascii="Times New Roman" w:hAnsi="Times New Roman"/>
            <w:b w:val="false"/>
            <w:i w:val="false"/>
            <w:color w:val="000000"/>
            <w:sz w:val="22"/>
          </w:rPr>
          <w:t>567—121.6(455B)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waste is applied to land subject to use by the general public (e.g., golf courses, parks), public access to the waste application site shall be restricted for a period of one month after waste application. In no case shall waste be applied to areas where direct body contact with the soil is likely (e.g., school yards, playground areas, picnic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Waste shall not be applied to land for the commercial production of human consumption food crops.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If sludge is applied to land where crops being grown will be grazed by or fed to livestock within two months of sludge application, or where cereal grains will be harvested within two months of sludge application, the sludge shall be injected or shall be applied to the surface and mechanically incorporated into the soil.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Notification. Before opening a disposal site the department shall be notified in writing of the location of the disposal operation. This notice shall also contain the legal description of the site, the landowner, the responsible official, the quantities and type of waste (including chemical analyses which the department may require to adequately define the waste).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121.6(2)</w:t>
      </w:r>
      <w:r>
        <w:rPr>
          <w:rFonts w:ascii="Times New Roman" w:hAnsi="Times New Roman"/>
          <w:b w:val="false"/>
          <w:i w:val="false"/>
          <w:color w:val="000000"/>
          <w:sz w:val="22"/>
        </w:rPr>
        <w:t> </w:t>
      </w:r>
      <w:r>
        <w:rPr>
          <w:rFonts w:ascii="Times New Roman" w:hAnsi="Times New Roman"/>
          <w:b w:val="false"/>
          <w:i/>
          <w:color w:val="000000"/>
          <w:sz w:val="22"/>
        </w:rPr>
        <w:t xml:space="preserve">Petroleum-contaminated soil.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9/15/04</w:t>
      </w:r>
      <w:r>
        <w:rPr>
          <w:rFonts w:ascii="Times New Roman" w:hAnsi="Times New Roman"/>
          <w:b w:val="false"/>
          <w:i w:val="false"/>
          <w:color w:val="000000"/>
          <w:sz w:val="22"/>
        </w:rPr>
        <w:t>, effective 10/20/04.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121.6(3)</w:t>
      </w:r>
      <w:r>
        <w:rPr>
          <w:rFonts w:ascii="Times New Roman" w:hAnsi="Times New Roman"/>
          <w:b w:val="false"/>
          <w:i w:val="false"/>
          <w:color w:val="000000"/>
          <w:sz w:val="22"/>
        </w:rPr>
        <w:t> </w:t>
      </w:r>
      <w:r>
        <w:rPr>
          <w:rFonts w:ascii="Times New Roman" w:hAnsi="Times New Roman"/>
          <w:b w:val="false"/>
          <w:i/>
          <w:color w:val="000000"/>
          <w:sz w:val="22"/>
        </w:rPr>
        <w:t xml:space="preserve">Flood plains.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9/15/04</w:t>
      </w:r>
      <w:r>
        <w:rPr>
          <w:rFonts w:ascii="Times New Roman" w:hAnsi="Times New Roman"/>
          <w:b w:val="false"/>
          <w:i w:val="false"/>
          <w:color w:val="000000"/>
          <w:sz w:val="22"/>
        </w:rPr>
        <w:t>, effective 10/20/04.</w:t>
      </w:r>
    </w:p>
    <w:p>
      <w:pPr>
        <w:spacing w:before="0" w:after="0"/>
        <w:ind w:left="120"/>
        <w:jc w:val="both"/>
      </w:pPr>
      <w:r>
        <w:rPr>
          <w:rFonts w:ascii="Times New Roman" w:hAnsi="Times New Roman"/>
          <w:b/>
          <w:i w:val="false"/>
          <w:color w:val="000000"/>
          <w:sz w:val="22"/>
        </w:rPr>
        <w:t>567—121.7</w:t>
      </w:r>
      <w:r>
        <w:rPr>
          <w:rFonts w:ascii="Times New Roman" w:hAnsi="Times New Roman"/>
          <w:b/>
          <w:i w:val="false"/>
          <w:color w:val="000000"/>
          <w:sz w:val="22"/>
        </w:rPr>
        <w:t xml:space="preserve">(455B) </w:t>
      </w:r>
      <w:r>
        <w:rPr>
          <w:rFonts w:ascii="Times New Roman" w:hAnsi="Times New Roman"/>
          <w:b/>
          <w:i w:val="false"/>
          <w:color w:val="000000"/>
          <w:sz w:val="22"/>
        </w:rPr>
        <w:t xml:space="preserve">Permit requirements. </w:t>
      </w:r>
      <w:r>
        <w:rPr>
          <w:rFonts w:ascii="Times New Roman" w:hAnsi="Times New Roman"/>
          <w:b w:val="false"/>
          <w:i w:val="false"/>
          <w:color w:val="000000"/>
          <w:sz w:val="22"/>
        </w:rPr>
        <w:t xml:space="preserve">Prior to any land application of solid waste not exempted in </w:t>
      </w:r>
      <w:hyperlink r:id="rId24">
        <w:r>
          <w:rPr>
            <w:rStyle w:val="Hyperlink"/>
            <w:rFonts w:ascii="Times New Roman" w:hAnsi="Times New Roman"/>
            <w:b w:val="false"/>
            <w:i w:val="false"/>
            <w:color w:val="000000"/>
            <w:sz w:val="22"/>
          </w:rPr>
          <w:t>121.5(455B)</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121.6(455B)</w:t>
        </w:r>
      </w:hyperlink>
      <w:r>
        <w:rPr>
          <w:rFonts w:ascii="Times New Roman" w:hAnsi="Times New Roman"/>
          <w:b w:val="false"/>
          <w:i w:val="false"/>
          <w:color w:val="000000"/>
          <w:sz w:val="22"/>
        </w:rPr>
        <w:t>, a permit must be obtained by the waste generator in accordance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121.7(1)</w:t>
      </w:r>
      <w:r>
        <w:rPr>
          <w:rFonts w:ascii="Times New Roman" w:hAnsi="Times New Roman"/>
          <w:b w:val="false"/>
          <w:i w:val="false"/>
          <w:color w:val="000000"/>
          <w:sz w:val="22"/>
        </w:rPr>
        <w:t> </w:t>
      </w:r>
      <w:r>
        <w:rPr>
          <w:rFonts w:ascii="Times New Roman" w:hAnsi="Times New Roman"/>
          <w:b w:val="false"/>
          <w:i/>
          <w:color w:val="000000"/>
          <w:sz w:val="22"/>
        </w:rPr>
        <w:t xml:space="preserve">Solid wastes. </w:t>
      </w:r>
      <w:r>
        <w:rPr>
          <w:rFonts w:ascii="Times New Roman" w:hAnsi="Times New Roman"/>
          <w:b w:val="false"/>
          <w:i w:val="false"/>
          <w:color w:val="000000"/>
          <w:sz w:val="22"/>
        </w:rPr>
        <w:t xml:space="preserve">The land application of sludge other than from a publicly owned treatment works which does not comply with </w:t>
      </w:r>
      <w:hyperlink r:id="rId26">
        <w:r>
          <w:rPr>
            <w:rStyle w:val="Hyperlink"/>
            <w:rFonts w:ascii="Times New Roman" w:hAnsi="Times New Roman"/>
            <w:b w:val="false"/>
            <w:i w:val="false"/>
            <w:color w:val="000000"/>
            <w:sz w:val="22"/>
          </w:rPr>
          <w:t>121.6(455B)</w:t>
        </w:r>
      </w:hyperlink>
      <w:r>
        <w:rPr>
          <w:rFonts w:ascii="Times New Roman" w:hAnsi="Times New Roman"/>
          <w:b w:val="false"/>
          <w:i w:val="false"/>
          <w:color w:val="000000"/>
          <w:sz w:val="22"/>
        </w:rPr>
        <w:t xml:space="preserv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plan requirements of </w:t>
      </w:r>
      <w:hyperlink r:id="rId27">
        <w:r>
          <w:rPr>
            <w:rStyle w:val="Hyperlink"/>
            <w:rFonts w:ascii="Times New Roman" w:hAnsi="Times New Roman"/>
            <w:b w:val="false"/>
            <w:i w:val="false"/>
            <w:color w:val="000000"/>
            <w:sz w:val="22"/>
          </w:rPr>
          <w:t>567—Chapter 102</w:t>
        </w:r>
      </w:hyperlink>
      <w:r>
        <w:rPr>
          <w:rFonts w:ascii="Times New Roman" w:hAnsi="Times New Roman"/>
          <w:b w:val="false"/>
          <w:i w:val="false"/>
          <w:color w:val="000000"/>
          <w:sz w:val="22"/>
        </w:rPr>
        <w:t xml:space="preserve"> for land application sites. In addition all permit applications for land application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map and aerial photograph as required in </w:t>
      </w:r>
      <w:hyperlink r:id="rId28">
        <w:r>
          <w:rPr>
            <w:rStyle w:val="Hyperlink"/>
            <w:rFonts w:ascii="Times New Roman" w:hAnsi="Times New Roman"/>
            <w:b w:val="false"/>
            <w:i w:val="false"/>
            <w:color w:val="000000"/>
            <w:sz w:val="22"/>
          </w:rPr>
          <w:t>567—subrule 102.12(3)</w:t>
        </w:r>
      </w:hyperlink>
      <w:r>
        <w:rPr>
          <w:rFonts w:ascii="Times New Roman" w:hAnsi="Times New Roman"/>
          <w:b w:val="false"/>
          <w:i w:val="false"/>
          <w:color w:val="000000"/>
          <w:sz w:val="22"/>
        </w:rPr>
        <w:t xml:space="preserve"> that shall be of sufficient scale to show all homes, buildings, lakes, ponds, watercourses, wetlands, dry runs, rock outcroppings, roads and other applicable details including topography and drainage patterns. All wells located within one mile of the site shall be identified on the map or aerial photograph and a bench mark shall be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soil map.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that the proposed plan has been reviewed by the local soil conservation district commission and that the technical assistance of the soil conservation district will be utilized to facilitate compliance with wind and water soil loss limit regulations provided for in Iowa Code sections </w:t>
      </w:r>
      <w:hyperlink r:id="rId29">
        <w:r>
          <w:rPr>
            <w:rStyle w:val="Hyperlink"/>
            <w:rFonts w:ascii="Times New Roman" w:hAnsi="Times New Roman"/>
            <w:b w:val="false"/>
            <w:i w:val="false"/>
            <w:color w:val="000000"/>
            <w:sz w:val="22"/>
          </w:rPr>
          <w:t>161A.42 to 161A.51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Total area of the site in acres and the number of acres which are to be used for sludge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Information on the depth, construction and use of any wells located within one mile of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Soil loss limits applicable to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Design soil loss levels for the proposed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Estimated current soil loss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Cation exchange capacity, current exchangeable cations, available potassium and phosphorus, total nitrogen, bulk density and pH (normal and as modified) of site soils.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Water table levels of the site, including the frequency and duration of any expected high water table or flooding.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Information on the source, quantity, and method of treatment of the sludge prior to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Results of sludge analyses, including the following: total residue; volatile residue; pH; total nitrogen</w:t>
      </w:r>
      <w:r>
        <w:rPr>
          <w:rFonts w:ascii="Times New Roman" w:hAnsi="Times New Roman"/>
          <w:b w:val="false"/>
          <w:i w:val="false"/>
          <w:color w:val="000000"/>
          <w:sz w:val="10"/>
        </w:rPr>
        <w:t>1</w:t>
      </w:r>
      <w:r>
        <w:rPr>
          <w:rFonts w:ascii="Times New Roman" w:hAnsi="Times New Roman"/>
          <w:b w:val="false"/>
          <w:i w:val="false"/>
          <w:color w:val="000000"/>
          <w:sz w:val="22"/>
        </w:rPr>
        <w:t>; NH</w:t>
      </w:r>
      <w:r>
        <w:rPr>
          <w:rFonts w:ascii="Times New Roman" w:hAnsi="Times New Roman"/>
          <w:b w:val="false"/>
          <w:i w:val="false"/>
          <w:color w:val="000000"/>
          <w:sz w:val="18"/>
          <w:vertAlign w:val="subscript"/>
        </w:rPr>
        <w:t>3</w:t>
      </w:r>
      <w:r>
        <w:rPr>
          <w:rFonts w:ascii="Times New Roman" w:hAnsi="Times New Roman"/>
          <w:b w:val="false"/>
          <w:i w:val="false"/>
          <w:color w:val="000000"/>
          <w:sz w:val="22"/>
        </w:rPr>
        <w:t>-N</w:t>
      </w:r>
      <w:r>
        <w:rPr>
          <w:rFonts w:ascii="Times New Roman" w:hAnsi="Times New Roman"/>
          <w:b w:val="false"/>
          <w:i w:val="false"/>
          <w:color w:val="000000"/>
          <w:sz w:val="10"/>
        </w:rPr>
        <w:t>1</w:t>
      </w:r>
      <w:r>
        <w:rPr>
          <w:rFonts w:ascii="Times New Roman" w:hAnsi="Times New Roman"/>
          <w:b w:val="false"/>
          <w:i w:val="false"/>
          <w:color w:val="000000"/>
          <w:sz w:val="22"/>
        </w:rPr>
        <w:t>; NO</w:t>
      </w:r>
      <w:r>
        <w:rPr>
          <w:rFonts w:ascii="Times New Roman" w:hAnsi="Times New Roman"/>
          <w:b w:val="false"/>
          <w:i w:val="false"/>
          <w:color w:val="000000"/>
          <w:sz w:val="18"/>
          <w:vertAlign w:val="subscript"/>
        </w:rPr>
        <w:t>3</w:t>
      </w:r>
      <w:r>
        <w:rPr>
          <w:rFonts w:ascii="Times New Roman" w:hAnsi="Times New Roman"/>
          <w:b w:val="false"/>
          <w:i w:val="false"/>
          <w:color w:val="000000"/>
          <w:sz w:val="22"/>
        </w:rPr>
        <w:t>-N</w:t>
      </w:r>
      <w:r>
        <w:rPr>
          <w:rFonts w:ascii="Times New Roman" w:hAnsi="Times New Roman"/>
          <w:b w:val="false"/>
          <w:i w:val="false"/>
          <w:color w:val="000000"/>
          <w:sz w:val="10"/>
        </w:rPr>
        <w:t>1</w:t>
      </w:r>
      <w:r>
        <w:rPr>
          <w:rFonts w:ascii="Times New Roman" w:hAnsi="Times New Roman"/>
          <w:b w:val="false"/>
          <w:i w:val="false"/>
          <w:color w:val="000000"/>
          <w:sz w:val="22"/>
        </w:rPr>
        <w:t>; total phosphorus</w:t>
      </w:r>
      <w:r>
        <w:rPr>
          <w:rFonts w:ascii="Times New Roman" w:hAnsi="Times New Roman"/>
          <w:b w:val="false"/>
          <w:i w:val="false"/>
          <w:color w:val="000000"/>
          <w:sz w:val="10"/>
        </w:rPr>
        <w:t>1</w:t>
      </w:r>
      <w:r>
        <w:rPr>
          <w:rFonts w:ascii="Times New Roman" w:hAnsi="Times New Roman"/>
          <w:b w:val="false"/>
          <w:i w:val="false"/>
          <w:color w:val="000000"/>
          <w:sz w:val="22"/>
        </w:rPr>
        <w:t>; potassium</w:t>
      </w:r>
      <w:r>
        <w:rPr>
          <w:rFonts w:ascii="Times New Roman" w:hAnsi="Times New Roman"/>
          <w:b w:val="false"/>
          <w:i w:val="false"/>
          <w:color w:val="000000"/>
          <w:sz w:val="10"/>
        </w:rPr>
        <w:t>1</w:t>
      </w:r>
      <w:r>
        <w:rPr>
          <w:rFonts w:ascii="Times New Roman" w:hAnsi="Times New Roman"/>
          <w:b w:val="false"/>
          <w:i w:val="false"/>
          <w:color w:val="000000"/>
          <w:sz w:val="22"/>
        </w:rPr>
        <w:t>; the following metals</w:t>
      </w:r>
      <w:r>
        <w:rPr>
          <w:rFonts w:ascii="Times New Roman" w:hAnsi="Times New Roman"/>
          <w:b w:val="false"/>
          <w:i w:val="false"/>
          <w:color w:val="000000"/>
          <w:sz w:val="10"/>
        </w:rPr>
        <w:t>1</w:t>
      </w:r>
      <w:r>
        <w:rPr>
          <w:rFonts w:ascii="Times New Roman" w:hAnsi="Times New Roman"/>
          <w:b w:val="false"/>
          <w:i w:val="false"/>
          <w:color w:val="000000"/>
          <w:sz w:val="22"/>
        </w:rPr>
        <w:t>: Arsenic (As), Cadmium (Cd), Chromium (Cr), Copper (Cu), Mercury (Hg), Molybdenum (Mo), Nickel (Ni), Lead (Pb), Selenium (Se), Zinc (Zn); and such other tests as may be necessary to establish the constituents and stability of the sludge.</w:t>
      </w:r>
    </w:p>
    <w:p>
      <w:pPr>
        <w:spacing w:before="0" w:after="0"/>
        <w:ind w:left="120"/>
        <w:jc w:val="both"/>
      </w:pPr>
      <w:r>
        <w:rPr>
          <w:rFonts w:ascii="Times New Roman" w:hAnsi="Times New Roman"/>
          <w:b w:val="false"/>
          <w:i w:val="false"/>
          <w:color w:val="000000"/>
          <w:sz w:val="22"/>
        </w:rPr>
        <w:t>The collection and preservation of samples shall be done by the highest grade operator or the operator’s designee at the plant producing the sludge. This shall be done in a manner and frequency approved by the department and intended to ensure that the sampling results are representative of sludge being disposed.</w:t>
      </w:r>
    </w:p>
    <w:p>
      <w:pPr>
        <w:spacing w:before="0" w:after="0"/>
        <w:ind w:left="120"/>
        <w:jc w:val="both"/>
      </w:pPr>
      <w:r>
        <w:rPr>
          <w:rFonts w:ascii="Times New Roman" w:hAnsi="Times New Roman"/>
          <w:b w:val="false"/>
          <w:i w:val="false"/>
          <w:color w:val="000000"/>
          <w:sz w:val="22"/>
        </w:rPr>
        <w:t>All analyses shall be performed in accordance with the methods described in “Methods for Chemical Analysis of Water and Wastes,” 1974 (US-EPA) or “Standard Methods for the Examination of Water and Waste Water,” 17th Edition, 1989. Alternate methods may be substituted only if acceptable to the university hygienic laboratory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 xml:space="preserve">A detailed description of the disposal process to be used, including: method of application and operation; daily, annual and total loading of sludge and of all significant components of the sludge identified in the analyses of </w:t>
      </w:r>
      <w:hyperlink r:id="rId30">
        <w:r>
          <w:rPr>
            <w:rStyle w:val="Hyperlink"/>
            <w:rFonts w:ascii="Times New Roman" w:hAnsi="Times New Roman"/>
            <w:b w:val="false"/>
            <w:i w:val="false"/>
            <w:color w:val="000000"/>
            <w:sz w:val="22"/>
          </w:rPr>
          <w:t>121.7(1)</w:t>
        </w:r>
      </w:hyperlink>
      <w:r>
        <w:rPr>
          <w:rFonts w:ascii="Times New Roman" w:hAnsi="Times New Roman"/>
          <w:b w:val="false"/>
          <w:i/>
          <w:color w:val="000000"/>
          <w:sz w:val="22"/>
        </w:rPr>
        <w:t>“a”</w:t>
      </w:r>
      <w:r>
        <w:rPr>
          <w:rFonts w:ascii="Times New Roman" w:hAnsi="Times New Roman"/>
          <w:b w:val="false"/>
          <w:i w:val="false"/>
          <w:color w:val="000000"/>
          <w:sz w:val="22"/>
        </w:rPr>
        <w:t>(12); periods of use (including duration and frequencies); crop and cropping practice employed; and final use of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Information specifying the equipment to be used, its design capacities, degree of utilization and expected methods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Information indicating that the proposed sludge disposal project will not result in predictable uptake of contaminants by site vegetation to such a degree as to make the site unsuitable for its intended uses.</w:t>
      </w:r>
    </w:p>
    <w:p>
      <w:pPr>
        <w:spacing w:before="0" w:after="0"/>
        <w:ind w:left="120"/>
        <w:jc w:val="both"/>
      </w:pPr>
      <w:r>
        <w:rPr>
          <w:rFonts w:ascii="Times New Roman" w:hAnsi="Times New Roman"/>
          <w:b w:val="false"/>
          <w:i w:val="false"/>
          <w:color w:val="000000"/>
          <w:sz w:val="22"/>
        </w:rPr>
        <w:t>This shall be supported by information as to the rate of uptake and toxicity of any constituent in question, along with soil pH and cation exchange capacities and any other data necessary to evaluate the significance of 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Information indicating that the proposed sludge disposal project will not result in predictable movement of significant quantities of contaminants from the site to standing or flowing surface waters or to shallow aquifers that are in actual use or are deemed to have potential for use as water sources. Cation exchange capacities of site soils shall be utilized to evaluate the potential for metal 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Information indicating that the portion of the site to be utilized is outside a flood plain or shoreland, unless proper engineering and protection of the site will render it acceptable and prior approval of the department under Title V of these rules and, where necessary, the U.S. corps of engineers, is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indicating how the operational requirements of </w:t>
      </w:r>
      <w:hyperlink r:id="rId31">
        <w:r>
          <w:rPr>
            <w:rStyle w:val="Hyperlink"/>
            <w:rFonts w:ascii="Times New Roman" w:hAnsi="Times New Roman"/>
            <w:b w:val="false"/>
            <w:i w:val="false"/>
            <w:color w:val="000000"/>
            <w:sz w:val="22"/>
          </w:rPr>
          <w:t>121.7(1)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will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Additional plan requirements for land application sites. If site conditions, waste constituents, or proposed operation procedures warrant, the department may require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the material underlying the proposed site, including stratigraphic sections based on a number of borings adequate to accurately determine the geology of the proposed site, unless the department agrees that an equivalent description may be obtained without borings. Additional information, including additional borings, may be required for any additional locations of specific concern to the department.</w:t>
      </w:r>
    </w:p>
    <w:p>
      <w:pPr>
        <w:spacing w:before="0" w:after="0"/>
        <w:ind w:left="120"/>
        <w:jc w:val="both"/>
      </w:pPr>
      <w:r>
        <w:rPr>
          <w:rFonts w:ascii="Times New Roman" w:hAnsi="Times New Roman"/>
          <w:b w:val="false"/>
          <w:i w:val="false"/>
          <w:color w:val="000000"/>
          <w:sz w:val="22"/>
        </w:rPr>
        <w:t>The stratigraphic sections shall be described from the surface to a depth determined by the director to be necessary to evaluate the suitability of the site for disposal of the specific waste.</w:t>
      </w:r>
    </w:p>
    <w:p>
      <w:pPr>
        <w:spacing w:before="0" w:after="0"/>
        <w:ind w:left="120"/>
        <w:jc w:val="both"/>
      </w:pPr>
      <w:r>
        <w:rPr>
          <w:rFonts w:ascii="Times New Roman" w:hAnsi="Times New Roman"/>
          <w:b w:val="false"/>
          <w:i w:val="false"/>
          <w:color w:val="000000"/>
          <w:sz w:val="22"/>
        </w:rPr>
        <w:t>Samples of sediments and rock units shall be collected at 5-foot intervals or when different genetic soil horizons are encountered, whichever is more frequent, unless the department agrees the other data will provide equivalent information. If samples are required, they shall be identified by location and depth. The name of the person classifying the sediments shall be indicated. At least one complete set of unaltered sack samples shall be submitted with the application. A drilling location plan and drilling log shall be submitted for each series of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detailed description of each genetic soil horizon in terms of clay mineralogy, bulk density, moisture holding capacity, seasonal water table levels, particle size distribution, organic matter content, pH, cation exchange capacity, drainage class total heavy metals concentrations, current exchangeable cations, Atterberg limits and grain size distribution (by means of laboratory sieve and hydrometer or pipette analysis) unless the department agrees that other data will provide equivalent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direction of groundwater flow and the number, location, and depth of monitoring wells needed to monitor the groundwater quality.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Information indicating that the portion of the site to be utilized is not situated in an unconsolidated sequence that will permit leakage of a quantity of water of a quality reasonably likely to have an adverse effect on the groundwater beneath or adjacent to the proposed site. The potential leakage shall be evaluated by means of generalized Darcy’s Law:</w:t>
      </w:r>
    </w:p>
    <w:tbl>
      <w:tblPr>
        <w:tblW w:w="5000" w:type="pct"/>
        <w:tblCellSpacing w:w="0" w:type="auto"/>
        <w:tblBorders>
          <w:top w:val="none"/>
          <w:left w:val="none"/>
          <w:bottom w:val="none"/>
          <w:right w:val="none"/>
          <w:insideH w:val="none"/>
          <w:insideV w:val="none"/>
        </w:tblBorders>
        <w:tblLayout w:type="fixed"/>
      </w:tblPr>
      <w:tblGrid>
        <w:gridCol w:w="1148"/>
        <w:gridCol w:w="1556"/>
        <w:gridCol w:w="8486"/>
      </w:tblGrid>
      <w:tr>
        <w:trPr>
          <w:trHeight w:val="270" w:hRule="atLeast"/>
        </w:trPr>
        <w:tc>
          <w:tcPr>
            <w:tcW w:w="11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Q =</w:t>
            </w:r>
          </w:p>
        </w:tc>
        <w:tc>
          <w:tcPr>
            <w:tcW w:w="15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AP(h</w:t>
            </w:r>
            <w:r>
              <w:rPr>
                <w:rFonts w:ascii="Times New Roman" w:hAnsi="Times New Roman"/>
                <w:b w:val="false"/>
                <w:i w:val="false"/>
                <w:color w:val="000000"/>
                <w:sz w:val="18"/>
                <w:vertAlign w:val="subscript"/>
              </w:rPr>
              <w:t>2</w:t>
            </w:r>
            <w:r>
              <w:rPr>
                <w:rFonts w:ascii="Times New Roman" w:hAnsi="Times New Roman"/>
                <w:b w:val="false"/>
                <w:i w:val="false"/>
                <w:color w:val="000000"/>
                <w:sz w:val="16"/>
              </w:rPr>
              <w:t>-h</w:t>
            </w:r>
            <w:r>
              <w:rPr>
                <w:rFonts w:ascii="Times New Roman" w:hAnsi="Times New Roman"/>
                <w:b w:val="false"/>
                <w:i w:val="false"/>
                <w:color w:val="000000"/>
                <w:sz w:val="18"/>
                <w:vertAlign w:val="subscript"/>
              </w:rPr>
              <w:t>1</w:t>
            </w:r>
            <w:r>
              <w:rPr>
                <w:rFonts w:ascii="Times New Roman" w:hAnsi="Times New Roman"/>
                <w:b w:val="false"/>
                <w:i w:val="false"/>
                <w:color w:val="000000"/>
                <w:sz w:val="16"/>
              </w:rPr>
              <w:t>)</w:t>
            </w:r>
          </w:p>
        </w:tc>
        <w:tc>
          <w:tcPr>
            <w:tcW w:w="8486" w:type="dxa"/>
            <w:vMerge w:val="restart"/>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where:</w:t>
            </w:r>
          </w:p>
        </w:tc>
      </w:tr>
      <w:tr>
        <w:trPr>
          <w:trHeight w:val="225" w:hRule="atLeast"/>
        </w:trPr>
        <w:tc>
          <w:tcPr>
            <w:tcW w:w="11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5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w:t>
            </w:r>
          </w:p>
        </w:tc>
        <w:tc>
          <w:tcPr>
            <w:tcW w:w="0" w:type="auto"/>
            <w:vMerge/>
            <w:tcBorders>
              <w:top w:val="nil"/>
            </w:tcBorders>
          </w:tcPr>
          <w:p/>
        </w:tc>
      </w:tr>
    </w:tbl>
    <w:p>
      <w:pPr>
        <w:spacing w:before="0" w:after="0"/>
        <w:ind w:left="120"/>
        <w:jc w:val="both"/>
      </w:pPr>
      <w:r>
        <w:rPr>
          <w:rFonts w:ascii="Times New Roman" w:hAnsi="Times New Roman"/>
          <w:b w:val="false"/>
          <w:i w:val="false"/>
          <w:color w:val="000000"/>
          <w:sz w:val="22"/>
        </w:rPr>
        <w:t>Q = cubic feet of liquid/day/square foot of area of the interface.</w:t>
      </w:r>
    </w:p>
    <w:p>
      <w:pPr>
        <w:spacing w:before="0" w:after="0"/>
        <w:ind w:left="120"/>
        <w:jc w:val="both"/>
      </w:pPr>
      <w:r>
        <w:rPr>
          <w:rFonts w:ascii="Times New Roman" w:hAnsi="Times New Roman"/>
          <w:b w:val="false"/>
          <w:i w:val="false"/>
          <w:color w:val="000000"/>
          <w:sz w:val="22"/>
        </w:rPr>
        <w:t>A = one square foot of area.</w:t>
      </w:r>
    </w:p>
    <w:p>
      <w:pPr>
        <w:spacing w:before="0" w:after="0"/>
        <w:ind w:left="120"/>
        <w:jc w:val="both"/>
      </w:pPr>
      <w:r>
        <w:rPr>
          <w:rFonts w:ascii="Times New Roman" w:hAnsi="Times New Roman"/>
          <w:b w:val="false"/>
          <w:i w:val="false"/>
          <w:color w:val="000000"/>
          <w:sz w:val="22"/>
        </w:rPr>
        <w:t>P = coefficient of permeability in feet/day of the unconsolidated confining unit above the high water table.</w:t>
      </w:r>
    </w:p>
    <w:p>
      <w:pPr>
        <w:spacing w:before="0" w:after="0"/>
        <w:ind w:left="120"/>
        <w:jc w:val="both"/>
      </w:pPr>
      <w:r>
        <w:rPr>
          <w:rFonts w:ascii="Times New Roman" w:hAnsi="Times New Roman"/>
          <w:b w:val="false"/>
          <w:i w:val="false"/>
          <w:color w:val="000000"/>
          <w:sz w:val="22"/>
        </w:rPr>
        <w:t>h</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 xml:space="preserve"> = maximum final elevation of a contiguous portion of till of the site.</w:t>
      </w:r>
    </w:p>
    <w:p>
      <w:pPr>
        <w:spacing w:before="0" w:after="0"/>
        <w:ind w:left="120"/>
        <w:jc w:val="both"/>
      </w:pPr>
      <w:r>
        <w:rPr>
          <w:rFonts w:ascii="Times New Roman" w:hAnsi="Times New Roman"/>
          <w:b w:val="false"/>
          <w:i w:val="false"/>
          <w:color w:val="000000"/>
          <w:sz w:val="22"/>
        </w:rPr>
        <w:t>h</w:t>
      </w:r>
      <w:r>
        <w:rPr>
          <w:rFonts w:ascii="Times New Roman" w:hAnsi="Times New Roman"/>
          <w:b w:val="false"/>
          <w:i w:val="false"/>
          <w:color w:val="000000"/>
          <w:sz w:val="18"/>
          <w:vertAlign w:val="subscript"/>
        </w:rPr>
        <w:t>1</w:t>
      </w:r>
      <w:r>
        <w:rPr>
          <w:rFonts w:ascii="Times New Roman" w:hAnsi="Times New Roman"/>
          <w:b w:val="false"/>
          <w:i w:val="false"/>
          <w:color w:val="000000"/>
          <w:sz w:val="22"/>
        </w:rPr>
        <w:t xml:space="preserve"> = lowest elevation of the bottom of the confining unit above the high water table at the location being elevated.</w:t>
      </w:r>
    </w:p>
    <w:p>
      <w:pPr>
        <w:spacing w:before="0" w:after="0"/>
        <w:ind w:left="120"/>
        <w:jc w:val="both"/>
      </w:pPr>
      <w:r>
        <w:rPr>
          <w:rFonts w:ascii="Times New Roman" w:hAnsi="Times New Roman"/>
          <w:b w:val="false"/>
          <w:i w:val="false"/>
          <w:color w:val="000000"/>
          <w:sz w:val="22"/>
        </w:rPr>
        <w:t>L = minimum thickness of the confining unit above the high water table at the location being evaluated.</w:t>
      </w:r>
    </w:p>
    <w:p>
      <w:pPr>
        <w:spacing w:before="0" w:after="0"/>
        <w:ind w:left="120"/>
        <w:jc w:val="both"/>
      </w:pPr>
      <w:r>
        <w:rPr>
          <w:rFonts w:ascii="Times New Roman" w:hAnsi="Times New Roman"/>
          <w:b w:val="false"/>
          <w:i w:val="false"/>
          <w:color w:val="000000"/>
          <w:sz w:val="22"/>
        </w:rPr>
        <w:t>The potential leakage shall be evaluated at those points where leakage could reasonably be expected, including the location of minimum thickness of the confining unit, the lowest elevation of the site and such other locations as seem reasonable.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Engineering plans and reports detailing how the site will be designed, constructed, and operated to protect ground and surface water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Proof of the applicant’s ownership of the site or legal entitlement to use the site for the disposal of sludge for the term of the permit for which application is made. The applicant shall also designate who will be responsible for the long-range monitoring and outline legal and financial arrangements for this.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Other information as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Operating requirements for land application sites. All land application projects shall be operated in conformance with </w:t>
      </w:r>
      <w:hyperlink r:id="rId32">
        <w:r>
          <w:rPr>
            <w:rStyle w:val="Hyperlink"/>
            <w:rFonts w:ascii="Times New Roman" w:hAnsi="Times New Roman"/>
            <w:b w:val="false"/>
            <w:i w:val="false"/>
            <w:color w:val="000000"/>
            <w:sz w:val="22"/>
          </w:rPr>
          <w:t>567—Chapter 102</w:t>
        </w:r>
      </w:hyperlink>
      <w:r>
        <w:rPr>
          <w:rFonts w:ascii="Times New Roman" w:hAnsi="Times New Roman"/>
          <w:b w:val="false"/>
          <w:i w:val="false"/>
          <w:color w:val="000000"/>
          <w:sz w:val="22"/>
        </w:rPr>
        <w:t xml:space="preserve"> and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general public and livestock shall not be given access to the disposal site during sludge disposal and for a minimum of two months after sludge disposal operations have ceased, unless specific permit conditions specify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Land application sites shall have the pH of the surface horizon or plow layer adjusted to and maintained above 6.5, unless specific permit conditions specify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Land application sites shall not be used for sludge disposal during or immediately preceding expected: rains or other occasions when runoff may result (unless subsurface injection methods are utilized); high groundwater conditions; or flooding.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Land application sites shall not be used for sludge disposal when frozen or snow covered unless special precautions are taken to avoid runoff.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As required by the department, groundwater monitoring wells and surface monitoring points shall be installed and a monitoring program implemented. Samples must be analyzed by a laboratory which is equipped and competent to perform the tests required by the department. The results shall be forwarded to the department on a stipulated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 the event significant leachate is detected, the department shall be so notified, and the permit holder shall submit a plan for controlling and treating the leachate. Upon approval of the plan by the department, it shall be immediately implemented.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Sampling and analyses of the sludge shall be performed and submitted to the department according to the schedule stipulated in the permit. Analyses shall include tests as required to confirm the constituents of the sludge.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of the site usage shall be maintained, shall be submitted to the department on a stipulated schedule and shall include: date of use; application area; application rate; quantity of sludge applied; method and timeliness of incorporation; chemical analyses of sludge being applied; and loading rates of significant components of sludge as identified in the analyses of </w:t>
      </w:r>
      <w:hyperlink r:id="rId33">
        <w:r>
          <w:rPr>
            <w:rStyle w:val="Hyperlink"/>
            <w:rFonts w:ascii="Times New Roman" w:hAnsi="Times New Roman"/>
            <w:b w:val="false"/>
            <w:i w:val="false"/>
            <w:color w:val="000000"/>
            <w:sz w:val="22"/>
          </w:rPr>
          <w:t>121.7(1)</w:t>
        </w:r>
      </w:hyperlink>
      <w:r>
        <w:rPr>
          <w:rFonts w:ascii="Times New Roman" w:hAnsi="Times New Roman"/>
          <w:b w:val="false"/>
          <w:i/>
          <w:color w:val="000000"/>
          <w:sz w:val="22"/>
        </w:rPr>
        <w:t>“a”</w:t>
      </w:r>
      <w:r>
        <w:rPr>
          <w:rFonts w:ascii="Times New Roman" w:hAnsi="Times New Roman"/>
          <w:b w:val="false"/>
          <w:i w:val="false"/>
          <w:color w:val="000000"/>
          <w:sz w:val="22"/>
        </w:rPr>
        <w:t>(12).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Prior to completion of a site, or suspension of operations at a site, the department shall be notified in writing. As required by the department, engineering plans and reports shall be submitted detailing deviations, if any, from the permitted final site conditions. An inspection shall be made by the department before abandonment of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Following closing of the site, any monitoring program in effect shall be continued until the integrity of the site is confirmed and any corrective measures which may be necessary are implemented. This shall be detailed in annual reports submitted to the department for the duration of the monitoring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 copy of the plans and reports, as amended or revised along with pertinent operations data, for any completed site shall be filed with the county recorder and the location of the filled area shall be recorded for abstract of title purposes. The recording may be made by affidavit.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Additional operating requirements for land application. If site conditions, waste constituents, or proposed operating procedures warrant, the department may require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Telephone or other adequate communications facilities be available on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Sanitary facilities, personnel washing facilities and potable water be available within a shelter on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site be fenced to control access and a gate be provided at the entrance to the site and kept locked when an attendant operator is not on duty;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copy of the permit, engineering plans, and specifications be kept at the site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Sites not open to the public have a permanent sign posted at the site entrance specifying: name of the operation; the site permit number; that the site is not open to the public; the owner’s name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121.7(2)</w:t>
      </w:r>
      <w:r>
        <w:rPr>
          <w:rFonts w:ascii="Times New Roman" w:hAnsi="Times New Roman"/>
          <w:b w:val="false"/>
          <w:i w:val="false"/>
          <w:color w:val="000000"/>
          <w:sz w:val="22"/>
        </w:rPr>
        <w:t> </w:t>
      </w:r>
      <w:r>
        <w:rPr>
          <w:rFonts w:ascii="Times New Roman" w:hAnsi="Times New Roman"/>
          <w:b w:val="false"/>
          <w:i/>
          <w:color w:val="000000"/>
          <w:sz w:val="22"/>
        </w:rPr>
        <w:t xml:space="preserve">Waste pesticides. </w:t>
      </w:r>
      <w:r>
        <w:rPr>
          <w:rFonts w:ascii="Times New Roman" w:hAnsi="Times New Roman"/>
          <w:b w:val="false"/>
          <w:i w:val="false"/>
          <w:color w:val="000000"/>
          <w:sz w:val="22"/>
        </w:rPr>
        <w:t>Waste pesticides may be land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determination is made by the department that the disposal method is the best available disposal methodology;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applicant submits an accepted permit plan. To be accepted all applications for a permit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owner of site where project will be located, permit applicant, official responsible for operation of project, and design engineer, if any.</w:t>
      </w:r>
    </w:p>
    <w:p>
      <w:pPr>
        <w:spacing w:before="0" w:after="0"/>
        <w:ind w:left="120"/>
        <w:jc w:val="both"/>
      </w:pPr>
      <w:r>
        <w:rPr>
          <w:rFonts w:ascii="Times New Roman" w:hAnsi="Times New Roman"/>
          <w:b w:val="false"/>
          <w:i w:val="false"/>
          <w:color w:val="000000"/>
          <w:sz w:val="22"/>
        </w:rPr>
        <w:t>If the waste generator is not the one seeking the permit then the waste generator and a responsible official of the waste generator shall also be listed.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legal description of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map or aerial photograph locating the boundaries of the site and identifying, north or other principal compass points, haul routes to and from the site with any special load limits or other restrictions which may apply, land use, homes and buildings within one-half mile, and section lines or other legal boundaries.</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Copies of current soil maps are satisfactory for this required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complete description of the waste including: brands, active ingredients, solvents and carriers, the concentrations and quantities thereof, original use made of the product, the date of use, duration and conditions of storage and any other information which may relate to the effects to be expected from the waste. The description of the waste shall include laboratory analysis as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rate at which the product would normally be applied to the site given specified cropping intentions, soil types, moisture levels, soil pH, organic matter present, previous pesticide applications and any other relevant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rate at which the waste is to be applied to the site along with the reason for any discrepancy from normal product application rates as described in (5), the impacts to be expected and such information as necessary to show that adverse impacts will not be significant.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description of the methods to be used in disposing of the waste including any special provisions needed to ensure intended application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description of methods to be used to avoid migration of the waste off the site including control of airborne drift, leaching and transportation by erosion.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Other information as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Operating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Records detailing the waste and the proposed and actual application rates (along with any other information required by the department) shall be maintained for a period (and submitted to the department on a schedule) specified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shall be informed immediately of any divergence from the plan, the details of that divergence and the impacts to be expected.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requirements of the department as specified in special provisions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121.7(3)</w:t>
      </w:r>
      <w:r>
        <w:rPr>
          <w:rFonts w:ascii="Times New Roman" w:hAnsi="Times New Roman"/>
          <w:b w:val="false"/>
          <w:i w:val="false"/>
          <w:color w:val="000000"/>
          <w:sz w:val="22"/>
        </w:rPr>
        <w:t> </w:t>
      </w:r>
      <w:r>
        <w:rPr>
          <w:rFonts w:ascii="Times New Roman" w:hAnsi="Times New Roman"/>
          <w:b w:val="false"/>
          <w:i/>
          <w:color w:val="000000"/>
          <w:sz w:val="22"/>
        </w:rPr>
        <w:t xml:space="preserve">Other wastes. </w:t>
      </w:r>
      <w:r>
        <w:rPr>
          <w:rFonts w:ascii="Times New Roman" w:hAnsi="Times New Roman"/>
          <w:b w:val="false"/>
          <w:i w:val="false"/>
          <w:color w:val="000000"/>
          <w:sz w:val="22"/>
        </w:rPr>
        <w:t xml:space="preserve">Specific criteria for the permitting of the land application of waste not otherwise specified in this rule will be developed in the future. Until promulgated, the criteria for the permitting of land application in </w:t>
      </w:r>
      <w:hyperlink r:id="rId34">
        <w:r>
          <w:rPr>
            <w:rStyle w:val="Hyperlink"/>
            <w:rFonts w:ascii="Times New Roman" w:hAnsi="Times New Roman"/>
            <w:b w:val="false"/>
            <w:i w:val="false"/>
            <w:color w:val="000000"/>
            <w:sz w:val="22"/>
          </w:rPr>
          <w:t>121.7(1)</w:t>
        </w:r>
      </w:hyperlink>
      <w:r>
        <w:rPr>
          <w:rFonts w:ascii="Times New Roman" w:hAnsi="Times New Roman"/>
          <w:b w:val="false"/>
          <w:i w:val="false"/>
          <w:color w:val="000000"/>
          <w:sz w:val="22"/>
        </w:rPr>
        <w:t xml:space="preserve"> shall be used.</w:t>
      </w:r>
    </w:p>
    <w:p>
      <w:pPr>
        <w:pBdr>
          <w:left w:space="1"/>
        </w:pBdr>
        <w:spacing w:before="0" w:after="0"/>
        <w:ind w:left="456"/>
        <w:jc w:val="both"/>
      </w:pPr>
      <w:r>
        <w:rPr>
          <w:rFonts w:ascii="Times New Roman" w:hAnsi="Times New Roman"/>
          <w:b w:val="false"/>
          <w:i w:val="false"/>
          <w:color w:val="000000"/>
          <w:sz w:val="10"/>
        </w:rPr>
        <w:t>1</w:t>
      </w:r>
      <w:r>
        <w:rPr>
          <w:rFonts w:ascii="Times New Roman" w:hAnsi="Times New Roman"/>
          <w:b w:val="false"/>
          <w:i w:val="false"/>
          <w:color w:val="000000"/>
          <w:sz w:val="16"/>
        </w:rPr>
        <w:t>On a dry weight basis.</w:t>
      </w:r>
    </w:p>
    <w:p>
      <w:pPr>
        <w:spacing w:before="0" w:after="0"/>
        <w:ind w:left="120"/>
        <w:jc w:val="both"/>
      </w:pPr>
      <w:r>
        <w:rPr>
          <w:rFonts w:ascii="Times New Roman" w:hAnsi="Times New Roman"/>
          <w:b/>
          <w:i w:val="false"/>
          <w:color w:val="000000"/>
          <w:sz w:val="22"/>
        </w:rPr>
        <w:t>567—121.8</w:t>
      </w:r>
      <w:r>
        <w:rPr>
          <w:rFonts w:ascii="Times New Roman" w:hAnsi="Times New Roman"/>
          <w:b/>
          <w:i w:val="false"/>
          <w:color w:val="000000"/>
          <w:sz w:val="22"/>
        </w:rPr>
        <w:t xml:space="preserve">(455B,455D) </w:t>
      </w:r>
      <w:r>
        <w:rPr>
          <w:rFonts w:ascii="Times New Roman" w:hAnsi="Times New Roman"/>
          <w:b/>
          <w:i w:val="false"/>
          <w:color w:val="000000"/>
          <w:sz w:val="22"/>
        </w:rPr>
        <w:t xml:space="preserve">Financial assurance requirements for land application of wastes. </w:t>
      </w:r>
      <w:r>
        <w:rPr>
          <w:rFonts w:ascii="Times New Roman" w:hAnsi="Times New Roman"/>
          <w:b w:val="false"/>
          <w:i w:val="false"/>
          <w:color w:val="000000"/>
          <w:sz w:val="22"/>
        </w:rPr>
        <w:t xml:space="preserve">The holder of a sanitary disposal project permit for the land application of solid wastes that has received authorization to temporarily store waste at the application site(s) must obtain and submit a financial assurance instrument to the department in accordance with this rule. The financial assurance instrument shall provide monetary funds for the purpose of properly disposing of or having a third party land apply any stored solid wastes due to the permit holder’s failure to properly land apply wastes in accordance with rule </w:t>
      </w:r>
      <w:hyperlink r:id="rId35">
        <w:r>
          <w:rPr>
            <w:rStyle w:val="Hyperlink"/>
            <w:rFonts w:ascii="Times New Roman" w:hAnsi="Times New Roman"/>
            <w:b w:val="false"/>
            <w:i w:val="false"/>
            <w:color w:val="000000"/>
            <w:sz w:val="22"/>
          </w:rPr>
          <w:t>121.7</w:t>
        </w:r>
      </w:hyperlink>
      <w:r>
        <w:rPr>
          <w:rFonts w:ascii="Times New Roman" w:hAnsi="Times New Roman"/>
          <w:b w:val="false"/>
          <w:i w:val="false"/>
          <w:color w:val="000000"/>
          <w:sz w:val="22"/>
        </w:rPr>
        <w:t>(455B) and the applicable permit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121.8(1)</w:t>
      </w:r>
      <w:r>
        <w:rPr>
          <w:rFonts w:ascii="Times New Roman" w:hAnsi="Times New Roman"/>
          <w:b w:val="false"/>
          <w:i w:val="false"/>
          <w:color w:val="000000"/>
          <w:sz w:val="22"/>
        </w:rPr>
        <w:t> </w:t>
      </w:r>
      <w:r>
        <w:rPr>
          <w:rFonts w:ascii="Times New Roman" w:hAnsi="Times New Roman"/>
          <w:b w:val="false"/>
          <w:i/>
          <w:color w:val="000000"/>
          <w:sz w:val="22"/>
        </w:rPr>
        <w:t xml:space="preserve">No permit without financial assurance. </w:t>
      </w:r>
      <w:r>
        <w:rPr>
          <w:rFonts w:ascii="Times New Roman" w:hAnsi="Times New Roman"/>
          <w:b w:val="false"/>
          <w:i w:val="false"/>
          <w:color w:val="000000"/>
          <w:sz w:val="22"/>
        </w:rPr>
        <w:t>The department shall not issue or renew a permit to an owner or operator until a financial assurance instrument has been submitted to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121.8(2)</w:t>
      </w:r>
      <w:r>
        <w:rPr>
          <w:rFonts w:ascii="Times New Roman" w:hAnsi="Times New Roman"/>
          <w:b w:val="false"/>
          <w:i w:val="false"/>
          <w:color w:val="000000"/>
          <w:sz w:val="22"/>
        </w:rPr>
        <w:t> </w:t>
      </w:r>
      <w:r>
        <w:rPr>
          <w:rFonts w:ascii="Times New Roman" w:hAnsi="Times New Roman"/>
          <w:b w:val="false"/>
          <w:i/>
          <w:color w:val="000000"/>
          <w:sz w:val="22"/>
        </w:rPr>
        <w:t xml:space="preserve">Proof of compliance. </w:t>
      </w:r>
      <w:r>
        <w:rPr>
          <w:rFonts w:ascii="Times New Roman" w:hAnsi="Times New Roman"/>
          <w:b w:val="false"/>
          <w:i w:val="false"/>
          <w:color w:val="000000"/>
          <w:sz w:val="22"/>
        </w:rPr>
        <w:t>Proof of the establishment of the financial assurance instrument and compliance with this rule, including a current closure cost estimate, shall be submitted by July 1, 2008, or at the time of application for a permit to land apply solid wastes. The owner or operator must provide continuous coverage for closure and submit proof of compliance, including an updated closure cost estimate, with each permit renewal thereafter until released from this requirement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121.8(3)</w:t>
      </w:r>
      <w:r>
        <w:rPr>
          <w:rFonts w:ascii="Times New Roman" w:hAnsi="Times New Roman"/>
          <w:b w:val="false"/>
          <w:i w:val="false"/>
          <w:color w:val="000000"/>
          <w:sz w:val="22"/>
        </w:rPr>
        <w:t> </w:t>
      </w:r>
      <w:r>
        <w:rPr>
          <w:rFonts w:ascii="Times New Roman" w:hAnsi="Times New Roman"/>
          <w:b w:val="false"/>
          <w:i/>
          <w:color w:val="000000"/>
          <w:sz w:val="22"/>
        </w:rPr>
        <w:t xml:space="preserve">Financial assurance amounts required. </w:t>
      </w:r>
      <w:r>
        <w:rPr>
          <w:rFonts w:ascii="Times New Roman" w:hAnsi="Times New Roman"/>
          <w:b w:val="false"/>
          <w:i w:val="false"/>
          <w:color w:val="000000"/>
          <w:sz w:val="22"/>
        </w:rPr>
        <w:t>The estimate submitted to the department must be certified by a professional engineer and account for at least the following factors determined by the department to be minimal necessary costs for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Third-party labor and transportation costs and total tip fees to properly dispose of all solid wastes equal to the maximum storage capacity of all approved storage areas,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Third-party labor costs to land apply all solid wastes equal to the maximum storage capacity of all approved storage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121.8(4)</w:t>
      </w:r>
      <w:r>
        <w:rPr>
          <w:rFonts w:ascii="Times New Roman" w:hAnsi="Times New Roman"/>
          <w:b w:val="false"/>
          <w:i w:val="false"/>
          <w:color w:val="000000"/>
          <w:sz w:val="22"/>
        </w:rPr>
        <w:t> </w:t>
      </w:r>
      <w:r>
        <w:rPr>
          <w:rFonts w:ascii="Times New Roman" w:hAnsi="Times New Roman"/>
          <w:b w:val="false"/>
          <w:i/>
          <w:color w:val="000000"/>
          <w:sz w:val="22"/>
        </w:rPr>
        <w:t xml:space="preserve">Acceptable financial assurance instruments. </w:t>
      </w:r>
      <w:r>
        <w:rPr>
          <w:rFonts w:ascii="Times New Roman" w:hAnsi="Times New Roman"/>
          <w:b w:val="false"/>
          <w:i w:val="false"/>
          <w:color w:val="000000"/>
          <w:sz w:val="22"/>
        </w:rPr>
        <w:t xml:space="preserve">The financial assurance instrument shall be established in an amount equal to the cost estimate prepared in accordance with subrule </w:t>
      </w:r>
      <w:hyperlink r:id="rId36">
        <w:r>
          <w:rPr>
            <w:rStyle w:val="Hyperlink"/>
            <w:rFonts w:ascii="Times New Roman" w:hAnsi="Times New Roman"/>
            <w:b w:val="false"/>
            <w:i w:val="false"/>
            <w:color w:val="000000"/>
            <w:sz w:val="22"/>
          </w:rPr>
          <w:t>121.8(3)</w:t>
        </w:r>
      </w:hyperlink>
      <w:r>
        <w:rPr>
          <w:rFonts w:ascii="Times New Roman" w:hAnsi="Times New Roman"/>
          <w:b w:val="false"/>
          <w:i w:val="false"/>
          <w:color w:val="000000"/>
          <w:sz w:val="22"/>
        </w:rPr>
        <w:t xml:space="preserve"> and shall not be canceled, revoked, disbursed, released, or allowed to terminate without the approval of the department. Financial assurance may be provided by cash in the form of a secured trust fund or local government dedicated fund, surety bond, letter of credit, or corporate or local government guarantee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Secured trust fund. </w:t>
      </w:r>
      <w:r>
        <w:rPr>
          <w:rFonts w:ascii="Times New Roman" w:hAnsi="Times New Roman"/>
          <w:b w:val="false"/>
          <w:i w:val="false"/>
          <w:color w:val="000000"/>
          <w:sz w:val="22"/>
        </w:rPr>
        <w:t>The owner or operator or entity serving as a guarantor may demonstrate financial assurance for closure by establishing a secured trust fund that conforms to the requirements of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trustee must be an entity which has the authority to act as a trustee and whose trust operations are regulated and examined by a federal or state agency. The fund shall be restricted for the sole purpose of funding closure activities at the land application site(s), and a copy of the trust agreement must be submitted to the department and placed in the permit holder’s official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secured trust fund shall name the department of natural resources as the entity authorized to draw funds from the trust, subject to proper notification to the trust officer of failure by the permittee to properly close the site within 30 days of permit suspension, termination, revocation, or expiration.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Moneys in the fund shall not be assigned for the benefit of creditors with the exception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Moneys in the fund shall not be used to pay any final judgment against a permit holder arising out of the ownership or operation of the site during its active life or after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owner or operator or another person authorized to conduct closure activities may request reimbursement from the trustee for closure expenditures as they are incurred. Requests for reimbursement shall be granted by the trustee only if sufficient funds are remaining in the trust fund to cover the remaining costs of closure and if documentation of the justification for reimbursement has been submitted to the department for prior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the balance of the trust fund exceeds the current cost estimate for closure at any time, the owner or operator may request withdrawal of the excess funds from the trustee so long as the withdrawal does not cause the balance to be reduced below the amount of the current cost estimate.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Local government dedicated fund. </w:t>
      </w:r>
      <w:r>
        <w:rPr>
          <w:rFonts w:ascii="Times New Roman" w:hAnsi="Times New Roman"/>
          <w:b w:val="false"/>
          <w:i w:val="false"/>
          <w:color w:val="000000"/>
          <w:sz w:val="22"/>
        </w:rPr>
        <w:t>The owner or operator of a publicly owned entity permitted to land apply solid waste or a local government serving as a guarantor may demonstrate financial assurance for closure by establishing a dedicated fund that conforms to the requirements of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fund shall be dedicated by state constitutional provision or local government statute, charter, ordinance, resolution or order as a restricted fund to pay for closure costs arising from the operation of the land application 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copy of the document establishing the dedicated fund must be submitted to the department and placed in the permit holder’s official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balance of the dedicated fund exceeds the current cost estimate for closure at any time, the owner or operator may withdraw excess funds so long as the withdrawal does not cause the balance to be reduced below the amount of the current cost estimate.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Surety bond. </w:t>
      </w:r>
      <w:r>
        <w:rPr>
          <w:rFonts w:ascii="Times New Roman" w:hAnsi="Times New Roman"/>
          <w:b w:val="false"/>
          <w:i w:val="false"/>
          <w:color w:val="000000"/>
          <w:sz w:val="22"/>
        </w:rPr>
        <w:t>A surety bond must be written by a company authorized by the commissioner of insurance to do business in the state. The surety bond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bond shall be in a form approved by the commissioner of insurance and shall be payable to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bond shall be specific to a particular land application site(s) for the purpose of funding closure in accordance with subrule </w:t>
      </w:r>
      <w:hyperlink r:id="rId37">
        <w:r>
          <w:rPr>
            <w:rStyle w:val="Hyperlink"/>
            <w:rFonts w:ascii="Times New Roman" w:hAnsi="Times New Roman"/>
            <w:b w:val="false"/>
            <w:i w:val="false"/>
            <w:color w:val="000000"/>
            <w:sz w:val="22"/>
          </w:rPr>
          <w:t>121.8(3)</w:t>
        </w:r>
      </w:hyperlink>
      <w:r>
        <w:rPr>
          <w:rFonts w:ascii="Times New Roman" w:hAnsi="Times New Roman"/>
          <w:b w:val="false"/>
          <w:i w:val="false"/>
          <w:color w:val="000000"/>
          <w:sz w:val="22"/>
        </w:rPr>
        <w:t xml:space="preserve"> and removing any stockpiled solid wastes that may remain on site due to the owner’s or operator’s failure to properly close the site within 30 days of permit suspension, termination, revocation, or expiration.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owner or operator shall provide the department with a statement from the surety with each permit application renewal, noting that the bond is paid and current for the permit period for which the owner or operator has applied for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Letter of credit. </w:t>
      </w:r>
      <w:r>
        <w:rPr>
          <w:rFonts w:ascii="Times New Roman" w:hAnsi="Times New Roman"/>
          <w:b w:val="false"/>
          <w:i w:val="false"/>
          <w:color w:val="000000"/>
          <w:sz w:val="22"/>
        </w:rPr>
        <w:t>The issuing institution must be an entity which has the authority to issue letters of credit and whose letter-of-credit operations are regulated and examined by a federal or state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submit to the department a copy of the letter of credit and place a copy in the permit holder’s official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letter from the owner or operator referring to the letter of credit by number, issuing institution, and date, and providing the name and address of the permit holder and the amount of funds assured, must be included with the letter of credit submitted to the department and placed in the permit holder’s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letter of credit must be irrevocable and must be issued for a period of at least one year. The letter of credit must provide that the expiration date will be automatically extended for a period of at least one year unless the issuing institution has canceled the letter of credit by sending notice of cancellation by certified mail to the owner or operator and to the department 90 days in advance of cancellation. When such notice is provided, the owner or operator shall, within 60 days, provide to the department adequate proof of alternative financial assurance, notice of withdrawal of cancellation, or proof of a deposit of a sum equal to the amount of the letter of credit into a secured trust fund that meets the requirements of paragraph </w:t>
      </w:r>
      <w:hyperlink r:id="rId38">
        <w:r>
          <w:rPr>
            <w:rStyle w:val="Hyperlink"/>
            <w:rFonts w:ascii="Times New Roman" w:hAnsi="Times New Roman"/>
            <w:b w:val="false"/>
            <w:i w:val="false"/>
            <w:color w:val="000000"/>
            <w:sz w:val="22"/>
          </w:rPr>
          <w:t>121.8(4)</w:t>
        </w:r>
      </w:hyperlink>
      <w:r>
        <w:rPr>
          <w:rFonts w:ascii="Times New Roman" w:hAnsi="Times New Roman"/>
          <w:b w:val="false"/>
          <w:i/>
          <w:color w:val="000000"/>
          <w:sz w:val="22"/>
        </w:rPr>
        <w:t>“a.”</w:t>
      </w:r>
      <w:r>
        <w:rPr>
          <w:rFonts w:ascii="Times New Roman" w:hAnsi="Times New Roman"/>
          <w:b w:val="false"/>
          <w:i w:val="false"/>
          <w:color w:val="000000"/>
          <w:sz w:val="22"/>
        </w:rPr>
        <w:t xml:space="preserve"> If the owner or operator has not complied with this subrule within the 60-day time period, the issuer of the letter of credit shall deposit a sum equal to the amount of the letter of credit into the secured trust fund established by the owner or operator. The provision of funds by the issuer of the letter of credit shall be considered an issuance of a loan to the owner or operator, and the terms of that loan shall be governed by the letter of credit or subsequent agreement between those parties. The state shall not be considered a party to this credit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Corporate guarantee. </w:t>
      </w:r>
      <w:r>
        <w:rPr>
          <w:rFonts w:ascii="Times New Roman" w:hAnsi="Times New Roman"/>
          <w:b w:val="false"/>
          <w:i w:val="false"/>
          <w:color w:val="000000"/>
          <w:sz w:val="22"/>
        </w:rPr>
        <w:t>An owner or operator may meet the requirements of this rule by obtaining a written guarantee. The guarantor must be the direct or higher-tier parent corporation of the owner or operator, an owner or operator whose parent corporation is also the parent corporation of the owner or operator, or an owner or operator with a “substantial business relationship’’ with the owner or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terms of the written guarantee must provide that within 30 days of the owner’s or operator’s failure to perform closure of a land application site(s) covered by the guarantee, the guarantor will: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Perform closure or pay a third party to perform closure as required (performance guarantee);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Establish a fully funded secured trust fund as specified in paragraph </w:t>
      </w:r>
      <w:hyperlink r:id="rId39">
        <w:r>
          <w:rPr>
            <w:rStyle w:val="Hyperlink"/>
            <w:rFonts w:ascii="Times New Roman" w:hAnsi="Times New Roman"/>
            <w:b w:val="false"/>
            <w:i w:val="false"/>
            <w:color w:val="000000"/>
            <w:sz w:val="22"/>
          </w:rPr>
          <w:t>121.8(4)</w:t>
        </w:r>
      </w:hyperlink>
      <w:r>
        <w:rPr>
          <w:rFonts w:ascii="Times New Roman" w:hAnsi="Times New Roman"/>
          <w:b w:val="false"/>
          <w:i/>
          <w:color w:val="000000"/>
          <w:sz w:val="22"/>
        </w:rPr>
        <w:t>“a”</w:t>
      </w:r>
      <w:r>
        <w:rPr>
          <w:rFonts w:ascii="Times New Roman" w:hAnsi="Times New Roman"/>
          <w:b w:val="false"/>
          <w:i w:val="false"/>
          <w:color w:val="000000"/>
          <w:sz w:val="22"/>
        </w:rPr>
        <w:t xml:space="preserve"> in the name of the owner or operator (payment guarantee);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Establish an alternative financial assurance instrument in the name of the owner or operator as required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guarantor must satisfy one of the following three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current rating for its senior unsubordinated debt of AAA, AA, A, or BBB as issued by Standard &amp; Poor’s or Aaa, Aa, A, or Baa as issued by Moody’s;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ratio of less than 1.5 comparing total liabilities to net worth;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ratio of greater than 0.10 comparing the sum of net income plus depreciation, depletion and amortization, minus $10 million, to total liabilities.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tangible net worth of the guarantor must be greater than the sum of the current closure cost estimate and any other environmental obligations, including other financial assurance guarantees.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guarantor must have assets amounting to at least the sum of the current closure cost estimate and any other environmental obligations, including other financial assurance guarantees.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Record-keeping and reporting requirements. The guarantor must submit the following records to the department and place a copy in the permit holder’s official files: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copy of the written guarantee between the owner or operator and the guarantor.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letter signed by a certified public accountant and based upon a certified audit that: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Lists all the current cost estimates covered by a guarantee including, but not limited to, cost estimates required by </w:t>
      </w:r>
      <w:hyperlink r:id="rId40">
        <w:r>
          <w:rPr>
            <w:rStyle w:val="Hyperlink"/>
            <w:rFonts w:ascii="Times New Roman" w:hAnsi="Times New Roman"/>
            <w:b w:val="false"/>
            <w:i w:val="false"/>
            <w:color w:val="000000"/>
            <w:sz w:val="22"/>
          </w:rPr>
          <w:t>subrule 121.8(3)</w:t>
        </w:r>
      </w:hyperlink>
      <w:r>
        <w:rPr>
          <w:rFonts w:ascii="Times New Roman" w:hAnsi="Times New Roman"/>
          <w:b w:val="false"/>
          <w:i w:val="false"/>
          <w:color w:val="000000"/>
          <w:sz w:val="22"/>
        </w:rPr>
        <w:t>; cost estimates required for municipal solid waste management facilities pursuant to 40 CFR Part 258; cost estimates required for UIC facilities under 40 CFR Part 144, if applicable; cost estimates required for petroleum underground storage tank facilities under 40 CFR Part 280, if applicable; cost estimates required for PCB storage facilities under 40 CFR Part 761, if applicable; and cost estimates required for hazardous waste treatment, storage, and disposal facilities under 40 CFR Parts 264 and 265, if applicable;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Provides evidence demonstrating that the guarantor meets the conditions of subparagraphs </w:t>
      </w:r>
      <w:hyperlink r:id="rId41">
        <w:r>
          <w:rPr>
            <w:rStyle w:val="Hyperlink"/>
            <w:rFonts w:ascii="Times New Roman" w:hAnsi="Times New Roman"/>
            <w:b w:val="false"/>
            <w:i w:val="false"/>
            <w:color w:val="000000"/>
            <w:sz w:val="22"/>
          </w:rPr>
          <w:t>121.8(4)</w:t>
        </w:r>
      </w:hyperlink>
      <w:r>
        <w:rPr>
          <w:rFonts w:ascii="Times New Roman" w:hAnsi="Times New Roman"/>
          <w:b w:val="false"/>
          <w:i/>
          <w:color w:val="000000"/>
          <w:sz w:val="22"/>
        </w:rPr>
        <w:t>“e”</w:t>
      </w:r>
      <w:r>
        <w:rPr>
          <w:rFonts w:ascii="Times New Roman" w:hAnsi="Times New Roman"/>
          <w:b w:val="false"/>
          <w:i w:val="false"/>
          <w:color w:val="000000"/>
          <w:sz w:val="22"/>
        </w:rPr>
        <w:t>(2), (3) and (4).</w:t>
      </w:r>
    </w:p>
    <w:p>
      <w:pPr>
        <w:spacing w:before="0" w:after="0"/>
        <w:ind w:left="120"/>
        <w:jc w:val="both"/>
      </w:pPr>
      <w:r>
        <w:rPr>
          <w:rFonts w:ascii="Times New Roman" w:hAnsi="Times New Roman"/>
          <w:b w:val="false"/>
          <w:i w:val="false"/>
          <w:color w:val="000000"/>
          <w:sz w:val="22"/>
        </w:rPr>
        <w:t>3. A copy of the independent certified public accountant’s unqualified opinion of the guarantor’s financial statements for the latest completed fiscal year. In order for the guarantor to be eligible to use the guarantee, the guarantor’s financial statements must receive an unqualified opinion from the independent certified public accountant. An adverse opinion or disclaimer of opinion shall be cause for disallowance of this instrument. A qualified opinion related to the demonstration of financial assurance may, at the discretion of the department, be cause for disallowance. If the department does not allow use of the corporate guarantee, the owner or operator must provide alternative financial assurance that meets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Local government guarantee. </w:t>
      </w:r>
      <w:r>
        <w:rPr>
          <w:rFonts w:ascii="Times New Roman" w:hAnsi="Times New Roman"/>
          <w:b w:val="false"/>
          <w:i w:val="false"/>
          <w:color w:val="000000"/>
          <w:sz w:val="22"/>
        </w:rPr>
        <w:t xml:space="preserve">An owner or operator may demonstrate financial assurance for closure by obtaining a written guarantee provided by a local government or jointly provided by the members of an agency established pursuant to Iowa Code chapter </w:t>
      </w:r>
      <w:hyperlink r:id="rId42">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terms of the written guarantee must provide that within 30 days of the owner’s or operator’s failure to perform closure of a land application site(s) covered by the guarantee, the guarantor will: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Perform closure or pay a third party to perform closure as required (performance guarantee);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Establish a fully funded secured trust fund as specified in paragraph </w:t>
      </w:r>
      <w:hyperlink r:id="rId43">
        <w:r>
          <w:rPr>
            <w:rStyle w:val="Hyperlink"/>
            <w:rFonts w:ascii="Times New Roman" w:hAnsi="Times New Roman"/>
            <w:b w:val="false"/>
            <w:i w:val="false"/>
            <w:color w:val="000000"/>
            <w:sz w:val="22"/>
          </w:rPr>
          <w:t>121.8(4)</w:t>
        </w:r>
      </w:hyperlink>
      <w:r>
        <w:rPr>
          <w:rFonts w:ascii="Times New Roman" w:hAnsi="Times New Roman"/>
          <w:b w:val="false"/>
          <w:i/>
          <w:color w:val="000000"/>
          <w:sz w:val="22"/>
        </w:rPr>
        <w:t>“a”</w:t>
      </w:r>
      <w:r>
        <w:rPr>
          <w:rFonts w:ascii="Times New Roman" w:hAnsi="Times New Roman"/>
          <w:b w:val="false"/>
          <w:i w:val="false"/>
          <w:color w:val="000000"/>
          <w:sz w:val="22"/>
        </w:rPr>
        <w:t xml:space="preserve"> in the name of the owner or operator (payment guarantee);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Establish an alternative financial assurance instrument in the name of the owner or operator as required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guarantor must satisfy one of the following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If the guarantor has outstanding, rated, general obligation bonds that are not secured by insurance, a letter of credit, or other collateral or guarantee, the guarantor must have a current rating of Aaa, Aa, A, or Baa, as issued by Moody’s, or AAA, AA, A, or BBB, as issued by Standard &amp; Poor’s, on all such general obligation bonds; or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guarantor must satisfy each of the following financial ratios based on the guarantor’s most recent audited annual financial statement: a ratio of cash plus marketable securities to total expenditures greater than or equal to 0.05, and a ratio of annual debt service to total expenditures less than or equal to 0.20.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guarantor must prepare its financial statements in conformity with generally accepted accounting principles or other comprehensive basis of accounting and have its financial statements audited by an independent certified public accountant or the office of the auditor of the state of Iowa. The financial statement shall be in the form prescribed by the office of the auditor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guarantor is not eligible to assure its obligations if: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guarantor is currently in default on any outstanding general obligation bonds;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guarantor has any outstanding general obligation bonds rated lower than Baa as issued by Moody’s or BBB as issued by Standard &amp; Poor’s;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guarantor operated at a deficit equal to 5 percent or more of total annual revenue in each of the past two fiscal years;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guarantor receives an adverse opinion or disclaimer of opinion from the independent certified public accountant or office of the auditor of the state of Iowa auditing its financial statement. A qualified opinion that is related to the demonstration of financial assurance may, at the discretion of the department, be cause for disallowance of this mechanism;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closure costs to be assured are greater than 43 percent of the guarantor’s total annual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local government guarantor must include disclosure of the closure costs assured through the guarantee in its next annual audit report prior to the initial application of waste at the land application site(s) or prior to cancellation of an alternative financial assurance instrument, whichever is later. For the first year the guarantee is used to assure costs at a particular land application site(s), the reference may instead be placed in the guarantor’s official files until issuance of the next available annual audit report if timing does not permit the reference to be incorporated into the most recently issued annual audit report or budget. For closure costs, conformance with Governmental Accounting Standards Board Statement 18 ensures compliance with this public notice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local government owner or operator must submit to the department the following items: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copy of the written guarantee between the owner or operator and the local government serving as guarantor for the closure costs at the land application sites.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copy of the guarantor’s most recent annual financial audit report indicating compliance with the financial ratios required by numbered paragraph </w:t>
      </w:r>
      <w:hyperlink r:id="rId44">
        <w:r>
          <w:rPr>
            <w:rStyle w:val="Hyperlink"/>
            <w:rFonts w:ascii="Times New Roman" w:hAnsi="Times New Roman"/>
            <w:b w:val="false"/>
            <w:i w:val="false"/>
            <w:color w:val="000000"/>
            <w:sz w:val="22"/>
          </w:rPr>
          <w:t>121.8(4)</w:t>
        </w:r>
      </w:hyperlink>
      <w:r>
        <w:rPr>
          <w:rFonts w:ascii="Times New Roman" w:hAnsi="Times New Roman"/>
          <w:b w:val="false"/>
          <w:i/>
          <w:color w:val="000000"/>
          <w:sz w:val="22"/>
        </w:rPr>
        <w:t>“f”</w:t>
      </w:r>
      <w:r>
        <w:rPr>
          <w:rFonts w:ascii="Times New Roman" w:hAnsi="Times New Roman"/>
          <w:b w:val="false"/>
          <w:i w:val="false"/>
          <w:color w:val="000000"/>
          <w:sz w:val="22"/>
        </w:rPr>
        <w:t xml:space="preserve">(2)“2,” if applicable, and the requirements of subparagraphs </w:t>
      </w:r>
      <w:hyperlink r:id="rId45">
        <w:r>
          <w:rPr>
            <w:rStyle w:val="Hyperlink"/>
            <w:rFonts w:ascii="Times New Roman" w:hAnsi="Times New Roman"/>
            <w:b w:val="false"/>
            <w:i w:val="false"/>
            <w:color w:val="000000"/>
            <w:sz w:val="22"/>
          </w:rPr>
          <w:t>121.8(4)</w:t>
        </w:r>
      </w:hyperlink>
      <w:r>
        <w:rPr>
          <w:rFonts w:ascii="Times New Roman" w:hAnsi="Times New Roman"/>
          <w:b w:val="false"/>
          <w:i/>
          <w:color w:val="000000"/>
          <w:sz w:val="22"/>
        </w:rPr>
        <w:t>“f”</w:t>
      </w:r>
      <w:r>
        <w:rPr>
          <w:rFonts w:ascii="Times New Roman" w:hAnsi="Times New Roman"/>
          <w:b w:val="false"/>
          <w:i w:val="false"/>
          <w:color w:val="000000"/>
          <w:sz w:val="22"/>
        </w:rPr>
        <w:t>(3) and (4).</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 letter signed by the local government’s chief financial officer that lists all the current cost estimates covered by the guarantor, as described in subrule </w:t>
      </w:r>
      <w:hyperlink r:id="rId46">
        <w:r>
          <w:rPr>
            <w:rStyle w:val="Hyperlink"/>
            <w:rFonts w:ascii="Times New Roman" w:hAnsi="Times New Roman"/>
            <w:b w:val="false"/>
            <w:i w:val="false"/>
            <w:color w:val="000000"/>
            <w:sz w:val="22"/>
          </w:rPr>
          <w:t>121.8(3)</w:t>
        </w:r>
      </w:hyperlink>
      <w:r>
        <w:rPr>
          <w:rFonts w:ascii="Times New Roman" w:hAnsi="Times New Roman"/>
          <w:b w:val="false"/>
          <w:i w:val="false"/>
          <w:color w:val="000000"/>
          <w:sz w:val="22"/>
        </w:rPr>
        <w:t xml:space="preserve">; and that provides evidence and certifies that the local government meets the conditions of subparagraphs </w:t>
      </w:r>
      <w:hyperlink r:id="rId47">
        <w:r>
          <w:rPr>
            <w:rStyle w:val="Hyperlink"/>
            <w:rFonts w:ascii="Times New Roman" w:hAnsi="Times New Roman"/>
            <w:b w:val="false"/>
            <w:i w:val="false"/>
            <w:color w:val="000000"/>
            <w:sz w:val="22"/>
          </w:rPr>
          <w:t>121.8(4)</w:t>
        </w:r>
      </w:hyperlink>
      <w:r>
        <w:rPr>
          <w:rFonts w:ascii="Times New Roman" w:hAnsi="Times New Roman"/>
          <w:b w:val="false"/>
          <w:i/>
          <w:color w:val="000000"/>
          <w:sz w:val="22"/>
        </w:rPr>
        <w:t>“f”</w:t>
      </w:r>
      <w:r>
        <w:rPr>
          <w:rFonts w:ascii="Times New Roman" w:hAnsi="Times New Roman"/>
          <w:b w:val="false"/>
          <w:i w:val="false"/>
          <w:color w:val="000000"/>
          <w:sz w:val="22"/>
        </w:rPr>
        <w:t>(2), (3), (4) and (5).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121.8(5)</w:t>
      </w:r>
      <w:r>
        <w:rPr>
          <w:rFonts w:ascii="Times New Roman" w:hAnsi="Times New Roman"/>
          <w:b w:val="false"/>
          <w:i w:val="false"/>
          <w:color w:val="000000"/>
          <w:sz w:val="22"/>
        </w:rPr>
        <w:t> </w:t>
      </w:r>
      <w:r>
        <w:rPr>
          <w:rFonts w:ascii="Times New Roman" w:hAnsi="Times New Roman"/>
          <w:b w:val="false"/>
          <w:i/>
          <w:color w:val="000000"/>
          <w:sz w:val="22"/>
        </w:rPr>
        <w:t xml:space="preserve">Financial assurance cancellation and permit suspension.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financial assurance instrument may be terminated by the owner or operator only if the owner or operator substitutes alternate financial assurance prior to cancellation, as specified in this rule, or if the owner or operator is no longer required to demonstrate financial responsibility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financial assurance instrument shall be continuous in nature until canceled by the financial assurance provider or until the department gives written notification to the owner, operator, and financial assurance provider that the covered site has been properly closed. The financial assurance provider shall give at least 90 days’ notice in writing to the owner or operator and the department in the event of any intent to cancel the instrument.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Within 60 days of receipt of a written notice of cancellation of financial assurance by the financial assurance provider, the owner or operator must provide the department an alternative financial assurance instrument. If a means of continued financial assurance is not provided within that 60 days, the department shall suspend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shall perform proper closure within 30 days of the permit suspension. For the purpose of this rule, “proper closure” means completion of all items pursuant to subrule </w:t>
      </w:r>
      <w:hyperlink r:id="rId48">
        <w:r>
          <w:rPr>
            <w:rStyle w:val="Hyperlink"/>
            <w:rFonts w:ascii="Times New Roman" w:hAnsi="Times New Roman"/>
            <w:b w:val="false"/>
            <w:i w:val="false"/>
            <w:color w:val="000000"/>
            <w:sz w:val="22"/>
          </w:rPr>
          <w:t>121.8(3)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owner or operator does not properly close the site within the 30-day period allowed, the department shall file a claim with the financial assurance instrument provider to collect the amount of funds necessary to properly close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owner or operator who elects to terminate a permitted activity, whose renewal application has been denied, or whose permit has been suspended or revoked for cause must submit within 30 days of the termination of the permit a schedule for completing proper closure of the terminated activity. Closure completion cannot exceed 60 days from the date of termination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director may also request payment from any financial assurance provider for the purpose of completing closure when the following circumstances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owner or operator is more than 15 days late in providing a schedule for closure or for meeting any date in the schedule for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owner or operator declares an economic inability to comply with this rule, either by sending written notification to the director or through an action such as, but not limited to, filing for bankruptcy.</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49">
        <w:r>
          <w:rPr>
            <w:rStyle w:val="Hyperlink"/>
            <w:rFonts w:ascii="Times New Roman" w:hAnsi="Times New Roman"/>
            <w:b w:val="false"/>
            <w:i w:val="false"/>
            <w:color w:val="000000"/>
            <w:sz w:val="22"/>
          </w:rPr>
          <w:t>455B.173</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455B.304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5/25/78, Notice 2/22/78—published 6/14/78, effective 7/19/78]</w:t>
      </w:r>
    </w:p>
    <w:p>
      <w:pPr>
        <w:spacing w:before="0" w:after="0"/>
        <w:ind w:left="120"/>
        <w:jc w:val="center"/>
      </w:pPr>
      <w:r>
        <w:rPr>
          <w:rFonts w:ascii="Times New Roman" w:hAnsi="Times New Roman"/>
          <w:b w:val="false"/>
          <w:i w:val="false"/>
          <w:color w:val="000000"/>
          <w:sz w:val="21"/>
        </w:rPr>
        <w:t>[Filed emergency 7/27/78—published 8/23/78, effective 7/27/78]</w:t>
      </w:r>
    </w:p>
    <w:p>
      <w:pPr>
        <w:spacing w:before="0" w:after="0"/>
        <w:ind w:left="120"/>
        <w:jc w:val="center"/>
      </w:pPr>
      <w:r>
        <w:rPr>
          <w:rFonts w:ascii="Times New Roman" w:hAnsi="Times New Roman"/>
          <w:b w:val="false"/>
          <w:i w:val="false"/>
          <w:color w:val="000000"/>
          <w:sz w:val="21"/>
        </w:rPr>
        <w:t>[Filed 3/25/82, Notice 9/30/81—published 4/14/82, effective 5/19/82]</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12/2/83, Notice 6/22/83—published 12/21/83, effective 1/25/84]</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8/31/90, Notice 5/16/90—published 9/19/90, effective 10/25/90]</w:t>
      </w:r>
    </w:p>
    <w:p>
      <w:pPr>
        <w:spacing w:before="0" w:after="0"/>
        <w:ind w:left="120"/>
        <w:jc w:val="center"/>
      </w:pPr>
      <w:r>
        <w:rPr>
          <w:rFonts w:ascii="Times New Roman" w:hAnsi="Times New Roman"/>
          <w:b w:val="false"/>
          <w:i w:val="false"/>
          <w:color w:val="000000"/>
          <w:sz w:val="21"/>
        </w:rPr>
        <w:t>[Filed 9/28/90, Notice 6/13/90—published 10/17/90, effective 11/21/90]</w:t>
      </w:r>
    </w:p>
    <w:p>
      <w:pPr>
        <w:spacing w:before="0" w:after="0"/>
        <w:ind w:left="120"/>
        <w:jc w:val="center"/>
      </w:pPr>
      <w:r>
        <w:rPr>
          <w:rFonts w:ascii="Times New Roman" w:hAnsi="Times New Roman"/>
          <w:b w:val="false"/>
          <w:i w:val="false"/>
          <w:color w:val="000000"/>
          <w:sz w:val="21"/>
        </w:rPr>
        <w:t>[Filed 7/30/93, Notice 4/14/93—published 8/18/93, effective 9/22/93]</w:t>
      </w:r>
    </w:p>
    <w:p>
      <w:pPr>
        <w:spacing w:before="0" w:after="0"/>
        <w:ind w:left="120"/>
        <w:jc w:val="center"/>
      </w:pPr>
      <w:r>
        <w:rPr>
          <w:rFonts w:ascii="Times New Roman" w:hAnsi="Times New Roman"/>
          <w:b w:val="false"/>
          <w:i w:val="false"/>
          <w:color w:val="000000"/>
          <w:sz w:val="21"/>
        </w:rPr>
        <w:t>[Filed 7/29/94, Notice 3/16/94—published 8/17/94, effective 9/21/94]</w:t>
      </w:r>
    </w:p>
    <w:p>
      <w:pPr>
        <w:spacing w:before="0" w:after="0"/>
        <w:ind w:left="120"/>
        <w:jc w:val="center"/>
      </w:pPr>
      <w:r>
        <w:rPr>
          <w:rFonts w:ascii="Times New Roman" w:hAnsi="Times New Roman"/>
          <w:b w:val="false"/>
          <w:i w:val="false"/>
          <w:color w:val="000000"/>
          <w:sz w:val="21"/>
        </w:rPr>
        <w:t>[Filed 9/20/96, Notice 7/17/96—published 10/9/96, effective 11/13/96]</w:t>
      </w:r>
    </w:p>
    <w:p>
      <w:pPr>
        <w:spacing w:before="0" w:after="0"/>
        <w:ind w:left="120"/>
        <w:jc w:val="center"/>
      </w:pPr>
      <w:r>
        <w:rPr>
          <w:rFonts w:ascii="Times New Roman" w:hAnsi="Times New Roman"/>
          <w:b w:val="false"/>
          <w:i w:val="false"/>
          <w:color w:val="000000"/>
          <w:sz w:val="21"/>
        </w:rPr>
        <w:t>[Filed 8/27/04, Notice 6/9/04—published 9/15/04, effective 10/20/04]</w:t>
      </w:r>
    </w:p>
    <w:p>
      <w:pPr>
        <w:spacing w:before="0" w:after="0"/>
        <w:ind w:left="120"/>
        <w:jc w:val="center"/>
      </w:pPr>
      <w:r>
        <w:rPr>
          <w:rFonts w:ascii="Times New Roman" w:hAnsi="Times New Roman"/>
          <w:b w:val="false"/>
          <w:i w:val="false"/>
          <w:color w:val="000000"/>
          <w:sz w:val="21"/>
        </w:rPr>
        <w:t>[Filed 9/6/07, Notice 1/3/07—published 9/26/07, effective 10/31/07]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567.67.pdf" Type="http://schemas.openxmlformats.org/officeDocument/2006/relationships/hyperlink" Id="rId5"/>
    <Relationship TargetMode="External" Target="https://www.legis.iowa.gov/docs/ico/chapter/321.1.pdf" Type="http://schemas.openxmlformats.org/officeDocument/2006/relationships/hyperlink" Id="rId6"/>
    <Relationship TargetMode="External" Target="https://www.legis.iowa.gov/docs/iac/rule/567.121.5.pdf" Type="http://schemas.openxmlformats.org/officeDocument/2006/relationships/hyperlink" Id="rId7"/>
    <Relationship TargetMode="External" Target="https://www.legis.iowa.gov/docs/iac/rule/567.121.6.pdf" Type="http://schemas.openxmlformats.org/officeDocument/2006/relationships/hyperlink" Id="rId8"/>
    <Relationship TargetMode="External" Target="https://www.legis.iowa.gov/docs/iac/chapter/567.65.pdf" Type="http://schemas.openxmlformats.org/officeDocument/2006/relationships/hyperlink" Id="rId9"/>
    <Relationship TargetMode="External" Target="https://www.legis.iowa.gov/docs/iac/rule/567.121.5.pdf" Type="http://schemas.openxmlformats.org/officeDocument/2006/relationships/hyperlink" Id="rId10"/>
    <Relationship TargetMode="External" Target="https://www.legis.iowa.gov/docs/iac/rule/567.121.6.pdf" Type="http://schemas.openxmlformats.org/officeDocument/2006/relationships/hyperlink" Id="rId11"/>
    <Relationship TargetMode="External" Target="https://www.legis.iowa.gov/docs/iac/rule/567.121.7.pdf" Type="http://schemas.openxmlformats.org/officeDocument/2006/relationships/hyperlink" Id="rId12"/>
    <Relationship TargetMode="External" Target="https://www.legis.iowa.gov/docs/iac/chapter/567.67.pdf" Type="http://schemas.openxmlformats.org/officeDocument/2006/relationships/hyperlink" Id="rId13"/>
    <Relationship TargetMode="External" Target="https://www.legis.iowa.gov/docs/iac/rule/567.121.7.pdf" Type="http://schemas.openxmlformats.org/officeDocument/2006/relationships/hyperlink" Id="rId14"/>
    <Relationship Target="media/document_image_rId15.gif" Type="http://schemas.openxmlformats.org/officeDocument/2006/relationships/image" Id="rId15"/>
    <Relationship TargetMode="External" Target="https://www.legis.iowa.gov/docs/iac/chapter/567.67.pdf" Type="http://schemas.openxmlformats.org/officeDocument/2006/relationships/hyperlink" Id="rId16"/>
    <Relationship TargetMode="External" Target="https://www.legis.iowa.gov/docs/iac/rule/567.121.6.pdf" Type="http://schemas.openxmlformats.org/officeDocument/2006/relationships/hyperlink" Id="rId17"/>
    <Relationship TargetMode="External" Target="https://www.legis.iowa.gov/docs/iac/rule/567.121.6.pdf" Type="http://schemas.openxmlformats.org/officeDocument/2006/relationships/hyperlink" Id="rId18"/>
    <Relationship TargetMode="External" Target="https://www.legis.iowa.gov/docs/iac/rule/567.121.6.pdf" Type="http://schemas.openxmlformats.org/officeDocument/2006/relationships/hyperlink" Id="rId19"/>
    <Relationship TargetMode="External" Target="https://www.legis.iowa.gov/docs/iac/rule/567.121.6.pdf" Type="http://schemas.openxmlformats.org/officeDocument/2006/relationships/hyperlink" Id="rId20"/>
    <Relationship TargetMode="External" Target="https://www.legis.iowa.gov/docs/iac/rule/567.101.3.pdf" Type="http://schemas.openxmlformats.org/officeDocument/2006/relationships/hyperlink" Id="rId21"/>
    <Relationship TargetMode="External" Target="https://www.legis.iowa.gov/docs/iac/rule/567.121.6.pdf" Type="http://schemas.openxmlformats.org/officeDocument/2006/relationships/hyperlink" Id="rId22"/>
    <Relationship TargetMode="External" Target="https://www.legis.iowa.gov/docs/iac/rule/567.121.6.pdf" Type="http://schemas.openxmlformats.org/officeDocument/2006/relationships/hyperlink" Id="rId23"/>
    <Relationship TargetMode="External" Target="https://www.legis.iowa.gov/docs/iac/rule/567.121.5.pdf" Type="http://schemas.openxmlformats.org/officeDocument/2006/relationships/hyperlink" Id="rId24"/>
    <Relationship TargetMode="External" Target="https://www.legis.iowa.gov/docs/iac/rule/567.121.6.pdf" Type="http://schemas.openxmlformats.org/officeDocument/2006/relationships/hyperlink" Id="rId25"/>
    <Relationship TargetMode="External" Target="https://www.legis.iowa.gov/docs/iac/rule/567.121.6.pdf" Type="http://schemas.openxmlformats.org/officeDocument/2006/relationships/hyperlink" Id="rId26"/>
    <Relationship TargetMode="External" Target="https://www.legis.iowa.gov/docs/iac/chapter/567.102.pdf" Type="http://schemas.openxmlformats.org/officeDocument/2006/relationships/hyperlink" Id="rId27"/>
    <Relationship TargetMode="External" Target="https://www.legis.iowa.gov/docs/iac/rule/567.102.12.pdf" Type="http://schemas.openxmlformats.org/officeDocument/2006/relationships/hyperlink" Id="rId28"/>
    <Relationship TargetMode="External" Target="https://www.legis.iowa.gov/docs/ico/chapter/161A.42-51.pdf" Type="http://schemas.openxmlformats.org/officeDocument/2006/relationships/hyperlink" Id="rId29"/>
    <Relationship TargetMode="External" Target="https://www.legis.iowa.gov/docs/iac/rule/567.121.7.pdf" Type="http://schemas.openxmlformats.org/officeDocument/2006/relationships/hyperlink" Id="rId30"/>
    <Relationship TargetMode="External" Target="https://www.legis.iowa.gov/docs/iac/rule/567.121.7.pdf" Type="http://schemas.openxmlformats.org/officeDocument/2006/relationships/hyperlink" Id="rId31"/>
    <Relationship TargetMode="External" Target="https://www.legis.iowa.gov/docs/iac/chapter/567.102.pdf" Type="http://schemas.openxmlformats.org/officeDocument/2006/relationships/hyperlink" Id="rId32"/>
    <Relationship TargetMode="External" Target="https://www.legis.iowa.gov/docs/iac/rule/567.121.7.pdf" Type="http://schemas.openxmlformats.org/officeDocument/2006/relationships/hyperlink" Id="rId33"/>
    <Relationship TargetMode="External" Target="https://www.legis.iowa.gov/docs/iac/rule/567.121.7.pdf" Type="http://schemas.openxmlformats.org/officeDocument/2006/relationships/hyperlink" Id="rId34"/>
    <Relationship TargetMode="External" Target="https://www.legis.iowa.gov/docs/iac/rule/567.121.7.pdf" Type="http://schemas.openxmlformats.org/officeDocument/2006/relationships/hyperlink" Id="rId35"/>
    <Relationship TargetMode="External" Target="https://www.legis.iowa.gov/docs/iac/rule/567.121.8.pdf" Type="http://schemas.openxmlformats.org/officeDocument/2006/relationships/hyperlink" Id="rId36"/>
    <Relationship TargetMode="External" Target="https://www.legis.iowa.gov/docs/iac/rule/567.121.8.pdf" Type="http://schemas.openxmlformats.org/officeDocument/2006/relationships/hyperlink" Id="rId37"/>
    <Relationship TargetMode="External" Target="https://www.legis.iowa.gov/docs/iac/rule/567.121.8.pdf" Type="http://schemas.openxmlformats.org/officeDocument/2006/relationships/hyperlink" Id="rId38"/>
    <Relationship TargetMode="External" Target="https://www.legis.iowa.gov/docs/iac/rule/567.121.8.pdf" Type="http://schemas.openxmlformats.org/officeDocument/2006/relationships/hyperlink" Id="rId39"/>
    <Relationship TargetMode="External" Target="https://www.legis.iowa.gov/docs/iac/rule/567.121.8.pdf" Type="http://schemas.openxmlformats.org/officeDocument/2006/relationships/hyperlink" Id="rId40"/>
    <Relationship TargetMode="External" Target="https://www.legis.iowa.gov/docs/iac/rule/567.121.8.pdf" Type="http://schemas.openxmlformats.org/officeDocument/2006/relationships/hyperlink" Id="rId41"/>
    <Relationship TargetMode="External" Target="https://www.legis.iowa.gov/docs/ico/chapter/28E.pdf" Type="http://schemas.openxmlformats.org/officeDocument/2006/relationships/hyperlink" Id="rId42"/>
    <Relationship TargetMode="External" Target="https://www.legis.iowa.gov/docs/iac/rule/567.121.8.pdf" Type="http://schemas.openxmlformats.org/officeDocument/2006/relationships/hyperlink" Id="rId43"/>
    <Relationship TargetMode="External" Target="https://www.legis.iowa.gov/docs/iac/rule/567.121.8.pdf" Type="http://schemas.openxmlformats.org/officeDocument/2006/relationships/hyperlink" Id="rId44"/>
    <Relationship TargetMode="External" Target="https://www.legis.iowa.gov/docs/iac/rule/567.121.8.pdf" Type="http://schemas.openxmlformats.org/officeDocument/2006/relationships/hyperlink" Id="rId45"/>
    <Relationship TargetMode="External" Target="https://www.legis.iowa.gov/docs/iac/rule/567.121.8.pdf" Type="http://schemas.openxmlformats.org/officeDocument/2006/relationships/hyperlink" Id="rId46"/>
    <Relationship TargetMode="External" Target="https://www.legis.iowa.gov/docs/iac/rule/567.121.8.pdf" Type="http://schemas.openxmlformats.org/officeDocument/2006/relationships/hyperlink" Id="rId47"/>
    <Relationship TargetMode="External" Target="https://www.legis.iowa.gov/docs/iac/rule/567.121.8.pdf" Type="http://schemas.openxmlformats.org/officeDocument/2006/relationships/hyperlink" Id="rId48"/>
    <Relationship TargetMode="External" Target="https://www.legis.iowa.gov/docs/ico/chapter/455B.173.pdf" Type="http://schemas.openxmlformats.org/officeDocument/2006/relationships/hyperlink" Id="rId49"/>
    <Relationship TargetMode="External" Target="https://www.legis.iowa.gov/docs/ico/chapter/455B.304.pdf" Type="http://schemas.openxmlformats.org/officeDocument/2006/relationships/hyperlink" Id="rId5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