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120</w:t>
      </w:r>
    </w:p>
    <w:p>
      <w:pPr>
        <w:spacing w:before="0" w:after="0"/>
        <w:ind w:left="120"/>
        <w:jc w:val="center"/>
      </w:pPr>
      <w:r>
        <w:rPr>
          <w:rFonts w:ascii="Times New Roman" w:hAnsi="Times New Roman"/>
          <w:b w:val="false"/>
          <w:i w:val="false"/>
          <w:color w:val="000000"/>
          <w:sz w:val="21"/>
        </w:rPr>
        <w:t>LANDFARMING OF PETROLEUM CONTAMINATED SOIL</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567—120.1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establish rules for the safe and effective remediation and disposal of petroleum contaminated soil (PCS) through landfarming. These rules are intended to satisfy the requirements of Iowa Code sections </w:t>
      </w:r>
      <w:hyperlink r:id="rId5">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567—120.2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120.2(1)</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landfarming of soils contaminated with biodegradable petroleum products including, but not limited to, gasoline, diesel fuel, kerosene, jet fuel, motor oil, hydraulic fluid, or some combination thereof. All PCS landfarming activities in which 3 or more cubic yards of PCS are excavated shall comply with this chapter. Uncontaminated soil that is excavated during the removal of the PCS shall not be counted toward the 3-cubic-yard applicability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apply to PCS that is being remediated or disposed of at a sanitary landfill. For rules governing the remediation and disposal of PCS at a sanitary landfill, see </w:t>
      </w:r>
      <w:hyperlink r:id="rId8">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w:t>
      </w:r>
      <w:r>
        <w:rPr>
          <w:rFonts w:ascii="Times New Roman" w:hAnsi="Times New Roman"/>
          <w:b w:val="false"/>
          <w:i w:val="false"/>
          <w:color w:val="000000"/>
          <w:sz w:val="22"/>
        </w:rPr>
        <w:t> </w:t>
      </w:r>
      <w:r>
        <w:rPr>
          <w:rFonts w:ascii="Times New Roman" w:hAnsi="Times New Roman"/>
          <w:b w:val="false"/>
          <w:i w:val="false"/>
          <w:color w:val="000000"/>
          <w:sz w:val="22"/>
        </w:rPr>
        <w:t>The issuance of a landfarm permit by the department in no way relieves the generator or permit holder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120.2(4)</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hazardous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567—120.3</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out in Iowa Code section </w:t>
      </w:r>
      <w:hyperlink r:id="rId9">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be considered to be incorporated by reference in these rules. For the purposes of this chapter, the definitions found in </w:t>
      </w:r>
      <w:hyperlink r:id="rId10">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567—120.4</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Landfarming applicator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PCS shall not be landfarmed without a landfarm applicator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w:t>
      </w:r>
      <w:r>
        <w:rPr>
          <w:rFonts w:ascii="Times New Roman" w:hAnsi="Times New Roman"/>
          <w:b w:val="false"/>
          <w:i w:val="false"/>
          <w:color w:val="000000"/>
          <w:sz w:val="22"/>
        </w:rPr>
        <w:t> </w:t>
      </w:r>
      <w:r>
        <w:rPr>
          <w:rFonts w:ascii="Times New Roman" w:hAnsi="Times New Roman"/>
          <w:b w:val="false"/>
          <w:i/>
          <w:color w:val="000000"/>
          <w:sz w:val="22"/>
        </w:rPr>
        <w:t xml:space="preserve">Landfarm applicator permit. </w:t>
      </w:r>
      <w:r>
        <w:rPr>
          <w:rFonts w:ascii="Times New Roman" w:hAnsi="Times New Roman"/>
          <w:b w:val="false"/>
          <w:i w:val="false"/>
          <w:color w:val="000000"/>
          <w:sz w:val="22"/>
        </w:rPr>
        <w:t xml:space="preserve">Upon issuance of a landfarm applicator permit, the permit holder is authorized to apply PCS to the land to create one or more landfarms. This permit requires that landfarms be used for only one application of a particular source and type of PCS. This permit requires that no other PCS be applied within 15 feet of the area of land used as a landfarm until the landfarm is closed pursuant to </w:t>
      </w:r>
      <w:hyperlink r:id="rId11">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operation. </w:t>
      </w:r>
      <w:r>
        <w:rPr>
          <w:rFonts w:ascii="Times New Roman" w:hAnsi="Times New Roman"/>
          <w:b w:val="false"/>
          <w:i w:val="false"/>
          <w:color w:val="000000"/>
          <w:sz w:val="22"/>
        </w:rPr>
        <w:t>Landfarms shall be constructed and operated according to these rules, any plans and specifications approved by the department, and the conditions of the permit. Any approved plans and specifications shall constitute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120.4(4)</w:t>
      </w:r>
      <w:r>
        <w:rPr>
          <w:rFonts w:ascii="Times New Roman" w:hAnsi="Times New Roman"/>
          <w:b w:val="false"/>
          <w:i w:val="false"/>
          <w:color w:val="000000"/>
          <w:sz w:val="22"/>
        </w:rPr>
        <w:t> </w:t>
      </w:r>
      <w:r>
        <w:rPr>
          <w:rFonts w:ascii="Times New Roman" w:hAnsi="Times New Roman"/>
          <w:b w:val="false"/>
          <w:i/>
          <w:color w:val="000000"/>
          <w:sz w:val="22"/>
        </w:rPr>
        <w:t xml:space="preserve">Transfer of title and permit. </w:t>
      </w:r>
      <w:r>
        <w:rPr>
          <w:rFonts w:ascii="Times New Roman" w:hAnsi="Times New Roman"/>
          <w:b w:val="false"/>
          <w:i w:val="false"/>
          <w:color w:val="000000"/>
          <w:sz w:val="22"/>
        </w:rPr>
        <w:t>If title to a landfarm applicator permit is transferred to a third party, then the department shall transfer the permit within 60 days if the department has determined that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transferee has applied in writing to the department within 30 days of the transfer of title to request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permitted applicator and title transferee are in compliance with Iowa Code chapter </w:t>
      </w:r>
      <w:hyperlink r:id="rId1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this chapter and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120.4(5)</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 xml:space="preserve">A permit may be issued with conditions, specified in writing by the department, that are necessary to ensure the landfarm can be constructed and operated in a safe and effective manner, and in compliance with Iowa Code chapter </w:t>
      </w:r>
      <w:hyperlink r:id="rId13">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120.4(6)</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a landfarm applicator permit held by any public or private agency is revoked by the department, then no new landfarm applicator permit shall be issued to that agency for a minimum of one year from the date the facility was brought into full compliance with the revocation order. Such revocation shall not prohibit the issuance of a permit for the same landfarm project to another landfarm application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120.4(7)</w:t>
      </w:r>
      <w:r>
        <w:rPr>
          <w:rFonts w:ascii="Times New Roman" w:hAnsi="Times New Roman"/>
          <w:b w:val="false"/>
          <w:i w:val="false"/>
          <w:color w:val="000000"/>
          <w:sz w:val="22"/>
        </w:rPr>
        <w:t> </w:t>
      </w:r>
      <w:r>
        <w:rPr>
          <w:rFonts w:ascii="Times New Roman" w:hAnsi="Times New Roman"/>
          <w:b w:val="false"/>
          <w:i/>
          <w:color w:val="000000"/>
          <w:sz w:val="22"/>
        </w:rPr>
        <w:t xml:space="preserve">Inspection of site and operation. </w:t>
      </w:r>
      <w:r>
        <w:rPr>
          <w:rFonts w:ascii="Times New Roman" w:hAnsi="Times New Roman"/>
          <w:b w:val="false"/>
          <w:i w:val="false"/>
          <w:color w:val="000000"/>
          <w:sz w:val="22"/>
        </w:rPr>
        <w:t>By obtaining an applicator permit, the permitted entity agrees that the department may inspect the facility and its operations at reasonable times to determine if the landfarm is in compliance with this chapter and the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120.4(8)</w:t>
      </w:r>
      <w:r>
        <w:rPr>
          <w:rFonts w:ascii="Times New Roman" w:hAnsi="Times New Roman"/>
          <w:b w:val="false"/>
          <w:i w:val="false"/>
          <w:color w:val="000000"/>
          <w:sz w:val="22"/>
        </w:rPr>
        <w:t> </w:t>
      </w:r>
      <w:r>
        <w:rPr>
          <w:rFonts w:ascii="Times New Roman" w:hAnsi="Times New Roman"/>
          <w:b w:val="false"/>
          <w:i/>
          <w:color w:val="000000"/>
          <w:sz w:val="22"/>
        </w:rPr>
        <w:t xml:space="preserve">Duration of permits. </w:t>
      </w:r>
      <w:r>
        <w:rPr>
          <w:rFonts w:ascii="Times New Roman" w:hAnsi="Times New Roman"/>
          <w:b w:val="false"/>
          <w:i w:val="false"/>
          <w:color w:val="000000"/>
          <w:sz w:val="22"/>
        </w:rPr>
        <w:t>Landfarm applicator permits shall be issued and may be renewed for a three-year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120.4(9)</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renewal. </w:t>
      </w:r>
      <w:r>
        <w:rPr>
          <w:rFonts w:ascii="Times New Roman" w:hAnsi="Times New Roman"/>
          <w:b w:val="false"/>
          <w:i w:val="false"/>
          <w:color w:val="000000"/>
          <w:sz w:val="22"/>
        </w:rPr>
        <w:t>A request for permit renewal shall be in writing and filed at least 90 days before the expiration of the current permit. If the renewal applicant is found not to be in compliance with this chapter or the permit requirements, then the applicant shall achieve compliance or be placed on a compliance schedule approved by the department before the permit may be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modification. </w:t>
      </w:r>
      <w:r>
        <w:rPr>
          <w:rFonts w:ascii="Times New Roman" w:hAnsi="Times New Roman"/>
          <w:b w:val="false"/>
          <w:i w:val="false"/>
          <w:color w:val="000000"/>
          <w:sz w:val="22"/>
        </w:rPr>
        <w:t>Requests for permit modifications must be submitted in writing to the department with supporting documentation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120.4(11)</w:t>
      </w:r>
      <w:r>
        <w:rPr>
          <w:rFonts w:ascii="Times New Roman" w:hAnsi="Times New Roman"/>
          <w:b w:val="false"/>
          <w:i w:val="false"/>
          <w:color w:val="000000"/>
          <w:sz w:val="22"/>
        </w:rPr>
        <w:t> </w:t>
      </w:r>
      <w:r>
        <w:rPr>
          <w:rFonts w:ascii="Times New Roman" w:hAnsi="Times New Roman"/>
          <w:b w:val="false"/>
          <w:i/>
          <w:color w:val="000000"/>
          <w:sz w:val="22"/>
        </w:rPr>
        <w:t xml:space="preserve">Factors in permit issuance decisions. </w:t>
      </w:r>
      <w:r>
        <w:rPr>
          <w:rFonts w:ascii="Times New Roman" w:hAnsi="Times New Roman"/>
          <w:b w:val="false"/>
          <w:i w:val="false"/>
          <w:color w:val="000000"/>
          <w:sz w:val="22"/>
        </w:rPr>
        <w:t>The department may request that additional information be submitted for review to make a permit issuance decision. The department may review and inspect the facility, its agents and operators, and compliance history. The department may review whether or not a good-faith effort to maintain compliance and protect human health and the environment is being made, and whether a compliance schedule is being followed. The department may issue a permit on a trial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567—120.5</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permit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w:t>
      </w:r>
      <w:r>
        <w:rPr>
          <w:rFonts w:ascii="Times New Roman" w:hAnsi="Times New Roman"/>
          <w:b w:val="false"/>
          <w:i w:val="false"/>
          <w:color w:val="000000"/>
          <w:sz w:val="22"/>
        </w:rPr>
        <w:t> </w:t>
      </w:r>
      <w:r>
        <w:rPr>
          <w:rFonts w:ascii="Times New Roman" w:hAnsi="Times New Roman"/>
          <w:b w:val="false"/>
          <w:i/>
          <w:color w:val="000000"/>
          <w:sz w:val="22"/>
        </w:rPr>
        <w:t xml:space="preserve"> Landfarm applicator permits. </w:t>
      </w:r>
      <w:r>
        <w:rPr>
          <w:rFonts w:ascii="Times New Roman" w:hAnsi="Times New Roman"/>
          <w:b w:val="false"/>
          <w:i w:val="false"/>
          <w:color w:val="000000"/>
          <w:sz w:val="22"/>
        </w:rPr>
        <w:t>To apply for a landfarm applicator permit, the applicant shall submit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Agency applying for the landfarm applicator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responsible for record keeping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of operations that complies with the requirements of </w:t>
      </w:r>
      <w:hyperlink r:id="rId14">
        <w:r>
          <w:rPr>
            <w:rStyle w:val="Hyperlink"/>
            <w:rFonts w:ascii="Times New Roman" w:hAnsi="Times New Roman"/>
            <w:b w:val="false"/>
            <w:i w:val="false"/>
            <w:color w:val="000000"/>
            <w:sz w:val="22"/>
          </w:rPr>
          <w:t>rules 567—120.9(455B)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567—120.11(455B)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(ERRAP) pursuant to </w:t>
      </w:r>
      <w:hyperlink r:id="rId16">
        <w:r>
          <w:rPr>
            <w:rStyle w:val="Hyperlink"/>
            <w:rFonts w:ascii="Times New Roman" w:hAnsi="Times New Roman"/>
            <w:b w:val="false"/>
            <w:i w:val="false"/>
            <w:color w:val="000000"/>
            <w:sz w:val="22"/>
          </w:rPr>
          <w:t>rule 567—120.10(455B)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signed and dated statement from the owner(s) of the agency which reads: “I guarantee that this agency will comply with </w:t>
      </w:r>
      <w:hyperlink r:id="rId17">
        <w:r>
          <w:rPr>
            <w:rStyle w:val="Hyperlink"/>
            <w:rFonts w:ascii="Times New Roman" w:hAnsi="Times New Roman"/>
            <w:b w:val="false"/>
            <w:i w:val="false"/>
            <w:color w:val="000000"/>
            <w:sz w:val="22"/>
          </w:rPr>
          <w:t>567—Chapter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If the department finds the permit application information to be incomplete, the department shall notify the applicant in writing of that fact and of the specific deficiencies. If the deficiencies are not corrected within 30 days, the department shall return the application materials to the applicant. The applicant may reapply without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567—120.6</w:t>
      </w:r>
      <w:r>
        <w:rPr>
          <w:rFonts w:ascii="Times New Roman" w:hAnsi="Times New Roman"/>
          <w:b/>
          <w:i w:val="false"/>
          <w:color w:val="000000"/>
          <w:sz w:val="22"/>
        </w:rPr>
        <w:t xml:space="preserve">(455B) </w:t>
      </w:r>
      <w:r>
        <w:rPr>
          <w:rFonts w:ascii="Times New Roman" w:hAnsi="Times New Roman"/>
          <w:b/>
          <w:i w:val="false"/>
          <w:color w:val="000000"/>
          <w:sz w:val="22"/>
        </w:rPr>
        <w:t xml:space="preserve">PCS analysis and characterization.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120.6(1)</w:t>
      </w:r>
      <w:r>
        <w:rPr>
          <w:rFonts w:ascii="Times New Roman" w:hAnsi="Times New Roman"/>
          <w:b w:val="false"/>
          <w:i w:val="false"/>
          <w:color w:val="000000"/>
          <w:sz w:val="22"/>
        </w:rPr>
        <w:t> </w:t>
      </w:r>
      <w:r>
        <w:rPr>
          <w:rFonts w:ascii="Times New Roman" w:hAnsi="Times New Roman"/>
          <w:b w:val="false"/>
          <w:i/>
          <w:color w:val="000000"/>
          <w:sz w:val="22"/>
        </w:rPr>
        <w:t xml:space="preserve">Department-supervised emergency cleanups. </w:t>
      </w:r>
      <w:r>
        <w:rPr>
          <w:rFonts w:ascii="Times New Roman" w:hAnsi="Times New Roman"/>
          <w:b w:val="false"/>
          <w:i w:val="false"/>
          <w:color w:val="000000"/>
          <w:sz w:val="22"/>
        </w:rPr>
        <w:t xml:space="preserve">PCS originating from the cleanup of a spill or expedited overexcavation at a tank closure or upgrade under department jurisdiction shall be characterized and tested as follows before being landfarmed. Such PCS may be landfarmed prior to chemical testing, pursuant to the application rate in </w:t>
      </w:r>
      <w:hyperlink r:id="rId18">
        <w:r>
          <w:rPr>
            <w:rStyle w:val="Hyperlink"/>
            <w:rFonts w:ascii="Times New Roman" w:hAnsi="Times New Roman"/>
            <w:b w:val="false"/>
            <w:i w:val="false"/>
            <w:color w:val="000000"/>
            <w:sz w:val="22"/>
          </w:rPr>
          <w:t>subrule 120.9(6)</w:t>
        </w:r>
      </w:hyperlink>
      <w:r>
        <w:rPr>
          <w:rFonts w:ascii="Times New Roman" w:hAnsi="Times New Roman"/>
          <w:b w:val="false"/>
          <w:i w:val="false"/>
          <w:color w:val="000000"/>
          <w:sz w:val="22"/>
        </w:rPr>
        <w:t xml:space="preserve"> and reporting requirements of </w:t>
      </w:r>
      <w:hyperlink r:id="rId19">
        <w:r>
          <w:rPr>
            <w:rStyle w:val="Hyperlink"/>
            <w:rFonts w:ascii="Times New Roman" w:hAnsi="Times New Roman"/>
            <w:b w:val="false"/>
            <w:i w:val="false"/>
            <w:color w:val="000000"/>
            <w:sz w:val="22"/>
          </w:rPr>
          <w:t>rule 567—120.11(455B)</w:t>
        </w:r>
      </w:hyperlink>
      <w:r>
        <w:rPr>
          <w:rFonts w:ascii="Times New Roman" w:hAnsi="Times New Roman"/>
          <w:b w:val="false"/>
          <w:i w:val="false"/>
          <w:color w:val="000000"/>
          <w:sz w:val="22"/>
        </w:rPr>
        <w:t>, if permission is obtained from department emergency response personnel or the department field office with jurisdiction over the landfarm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identification. </w:t>
      </w:r>
      <w:r>
        <w:rPr>
          <w:rFonts w:ascii="Times New Roman" w:hAnsi="Times New Roman"/>
          <w:b w:val="false"/>
          <w:i w:val="false"/>
          <w:color w:val="000000"/>
          <w:sz w:val="22"/>
        </w:rPr>
        <w:t>The name and address of the contaminated site from which the PCS originated and the spill or underground storage tank (UST) registration number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Type classification. </w:t>
      </w:r>
      <w:r>
        <w:rPr>
          <w:rFonts w:ascii="Times New Roman" w:hAnsi="Times New Roman"/>
          <w:b w:val="false"/>
          <w:i w:val="false"/>
          <w:color w:val="000000"/>
          <w:sz w:val="22"/>
        </w:rPr>
        <w:t>The PCS shall be classified by type according to the petroleum product’s trade name (e.g., gasoline, diesel fuel) or according to the trade names if there is a mixture of petroleum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Chemical testing. </w:t>
      </w:r>
      <w:r>
        <w:rPr>
          <w:rFonts w:ascii="Times New Roman" w:hAnsi="Times New Roman"/>
          <w:b w:val="false"/>
          <w:i w:val="false"/>
          <w:color w:val="000000"/>
          <w:sz w:val="22"/>
        </w:rPr>
        <w:t xml:space="preserve">A sample of the PCS shall be obtained from the emergency cleanup site and tested pursuant to paragraph </w:t>
      </w:r>
      <w:hyperlink r:id="rId20">
        <w:r>
          <w:rPr>
            <w:rStyle w:val="Hyperlink"/>
            <w:rFonts w:ascii="Times New Roman" w:hAnsi="Times New Roman"/>
            <w:b w:val="false"/>
            <w:i w:val="false"/>
            <w:color w:val="000000"/>
            <w:sz w:val="22"/>
          </w:rPr>
          <w:t>120.6(2)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120.6(2)</w:t>
      </w:r>
      <w:r>
        <w:rPr>
          <w:rFonts w:ascii="Times New Roman" w:hAnsi="Times New Roman"/>
          <w:b w:val="false"/>
          <w:i w:val="false"/>
          <w:color w:val="000000"/>
          <w:sz w:val="22"/>
        </w:rPr>
        <w:t> </w:t>
      </w:r>
      <w:r>
        <w:rPr>
          <w:rFonts w:ascii="Times New Roman" w:hAnsi="Times New Roman"/>
          <w:b w:val="false"/>
          <w:i/>
          <w:color w:val="000000"/>
          <w:sz w:val="22"/>
        </w:rPr>
        <w:t xml:space="preserve">Other cleanups. </w:t>
      </w:r>
      <w:r>
        <w:rPr>
          <w:rFonts w:ascii="Times New Roman" w:hAnsi="Times New Roman"/>
          <w:b w:val="false"/>
          <w:i w:val="false"/>
          <w:color w:val="000000"/>
          <w:sz w:val="22"/>
        </w:rPr>
        <w:t xml:space="preserve">PCS not originating from a department-supervised emergency cleanup pursuant to </w:t>
      </w:r>
      <w:hyperlink r:id="rId21">
        <w:r>
          <w:rPr>
            <w:rStyle w:val="Hyperlink"/>
            <w:rFonts w:ascii="Times New Roman" w:hAnsi="Times New Roman"/>
            <w:b w:val="false"/>
            <w:i w:val="false"/>
            <w:color w:val="000000"/>
            <w:sz w:val="22"/>
          </w:rPr>
          <w:t>subrule 120.6(1)</w:t>
        </w:r>
      </w:hyperlink>
      <w:r>
        <w:rPr>
          <w:rFonts w:ascii="Times New Roman" w:hAnsi="Times New Roman"/>
          <w:b w:val="false"/>
          <w:i w:val="false"/>
          <w:color w:val="000000"/>
          <w:sz w:val="22"/>
        </w:rPr>
        <w:t xml:space="preserve"> shall be characterized and tested as follows before being landfarmed. PCS originating from a cleanup pursuant to </w:t>
      </w:r>
      <w:hyperlink r:id="rId22">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may utilize those test results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identification. </w:t>
      </w:r>
      <w:r>
        <w:rPr>
          <w:rFonts w:ascii="Times New Roman" w:hAnsi="Times New Roman"/>
          <w:b w:val="false"/>
          <w:i w:val="false"/>
          <w:color w:val="000000"/>
          <w:sz w:val="22"/>
        </w:rPr>
        <w:t>The name and address of the contaminated site from which the PCS originated, the UST registration number, and the leaking underground storage tank (LUST) number shall be recorded,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Type classification. </w:t>
      </w:r>
      <w:r>
        <w:rPr>
          <w:rFonts w:ascii="Times New Roman" w:hAnsi="Times New Roman"/>
          <w:b w:val="false"/>
          <w:i w:val="false"/>
          <w:color w:val="000000"/>
          <w:sz w:val="22"/>
        </w:rPr>
        <w:t>The PCS shall be classified by type according to the petroleum product’s trade name (e.g., gasoline, diesel fuel) or according to the trade names if there is a mixture of petroleum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Chemical testing. </w:t>
      </w:r>
      <w:r>
        <w:rPr>
          <w:rFonts w:ascii="Times New Roman" w:hAnsi="Times New Roman"/>
          <w:b w:val="false"/>
          <w:i w:val="false"/>
          <w:color w:val="000000"/>
          <w:sz w:val="22"/>
        </w:rPr>
        <w:t>The following analyses shall be performed. Samples shall be acquired, stored, handled, tested, and reported in accordance with the required methodology and accepted scientific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BTEX testing. The PCS shall be tested for benzene, toluene, ethylbenzene, and xylene (BTEX). A laboratory certified for UST petroleum analyses pursuant to </w:t>
      </w:r>
      <w:hyperlink r:id="rId2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shall test the samples. The analysis shall utilize the most recent version of Method OA-1 (GCMS), “Method for Determination of Volatile Petroleum Hydrocarbons (Gasoline),” University of Iowa Hygienic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TEH-diesel testing. The PCS shall be tested for total extractable hydrocarbons (TEH-diesel). A laboratory certified for UST petroleum analyses pursuant to </w:t>
      </w:r>
      <w:hyperlink r:id="rId2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shall test the samples. The analysis shall utilize the most recent version of Method OA-2, “Extractable Petroleum Products (and Relatively Low Volatility Organic Compounds),” University of Iowa Hygienic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MTBE testing. The PCS shall be tested for methyl tertiary-butyl ether (MTBE) unless prior analysis at a site, pursuant to </w:t>
      </w:r>
      <w:hyperlink r:id="rId25">
        <w:r>
          <w:rPr>
            <w:rStyle w:val="Hyperlink"/>
            <w:rFonts w:ascii="Times New Roman" w:hAnsi="Times New Roman"/>
            <w:b w:val="false"/>
            <w:i w:val="false"/>
            <w:color w:val="000000"/>
            <w:sz w:val="22"/>
          </w:rPr>
          <w:t>rule 567—135.15(455B)</w:t>
        </w:r>
      </w:hyperlink>
      <w:r>
        <w:rPr>
          <w:rFonts w:ascii="Times New Roman" w:hAnsi="Times New Roman"/>
          <w:b w:val="false"/>
          <w:i w:val="false"/>
          <w:color w:val="000000"/>
          <w:sz w:val="22"/>
        </w:rPr>
        <w:t xml:space="preserve">, has shown that MTBE is not present in soil or groundwater. A laboratory certified for UST petroleum analyses pursuant to </w:t>
      </w:r>
      <w:hyperlink r:id="rId26">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shall test the samples. The analysis shall utilize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most recent version of Method OA-1 (GCMS), “Method for Determination of Volatile Petroleum Hydrocarbons (Gasoline),” University of Iowa Hygienic Laboratory.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 Environmental Protection Agency (EPA) Method 8260B, SW-846, “Test Methods for Evaluating Solid Waste,” Third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metals testing. If the history of the petroleum contaminated site is known to have included solvents, batteries, leaded fuel, waste oil, or a gas station in operation prior to 1985, then the PCS shall be tested for total Resource Conservation and Recovery Act (RCRA) metals.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120.6(3)</w:t>
      </w:r>
      <w:r>
        <w:rPr>
          <w:rFonts w:ascii="Times New Roman" w:hAnsi="Times New Roman"/>
          <w:b w:val="false"/>
          <w:i w:val="false"/>
          <w:color w:val="000000"/>
          <w:sz w:val="22"/>
        </w:rPr>
        <w:t> </w:t>
      </w:r>
      <w:r>
        <w:rPr>
          <w:rFonts w:ascii="Times New Roman" w:hAnsi="Times New Roman"/>
          <w:b w:val="false"/>
          <w:i/>
          <w:color w:val="000000"/>
          <w:sz w:val="22"/>
        </w:rPr>
        <w:t xml:space="preserve">Tar balls. </w:t>
      </w:r>
      <w:r>
        <w:rPr>
          <w:rFonts w:ascii="Times New Roman" w:hAnsi="Times New Roman"/>
          <w:b w:val="false"/>
          <w:i w:val="false"/>
          <w:color w:val="000000"/>
          <w:sz w:val="22"/>
        </w:rPr>
        <w:t xml:space="preserve">PCS that has the potential to produce tar balls shall not be landfarmed. Such PCS may be disposed of in a sanitary landfill pursuant to </w:t>
      </w:r>
      <w:hyperlink r:id="rId27">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120.6(4)</w:t>
      </w:r>
      <w:r>
        <w:rPr>
          <w:rFonts w:ascii="Times New Roman" w:hAnsi="Times New Roman"/>
          <w:b w:val="false"/>
          <w:i w:val="false"/>
          <w:color w:val="000000"/>
          <w:sz w:val="22"/>
        </w:rPr>
        <w:t> </w:t>
      </w:r>
      <w:r>
        <w:rPr>
          <w:rFonts w:ascii="Times New Roman" w:hAnsi="Times New Roman"/>
          <w:b w:val="false"/>
          <w:i/>
          <w:color w:val="000000"/>
          <w:sz w:val="22"/>
        </w:rPr>
        <w:t xml:space="preserve">Other tests. </w:t>
      </w:r>
      <w:r>
        <w:rPr>
          <w:rFonts w:ascii="Times New Roman" w:hAnsi="Times New Roman"/>
          <w:b w:val="false"/>
          <w:i w:val="false"/>
          <w:color w:val="000000"/>
          <w:sz w:val="22"/>
        </w:rPr>
        <w:t>The department may require testing of the PCS for other chemicals of concern.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567—120.7</w:t>
      </w:r>
      <w:r>
        <w:rPr>
          <w:rFonts w:ascii="Times New Roman" w:hAnsi="Times New Roman"/>
          <w:b/>
          <w:i w:val="false"/>
          <w:color w:val="000000"/>
          <w:sz w:val="22"/>
        </w:rPr>
        <w:t xml:space="preserve">(455B) </w:t>
      </w:r>
      <w:r>
        <w:rPr>
          <w:rFonts w:ascii="Times New Roman" w:hAnsi="Times New Roman"/>
          <w:b/>
          <w:i w:val="false"/>
          <w:color w:val="000000"/>
          <w:sz w:val="22"/>
        </w:rPr>
        <w:t xml:space="preserve">Site exploration and suitability requirements for landfarms. </w:t>
      </w:r>
      <w:r>
        <w:rPr>
          <w:rFonts w:ascii="Times New Roman" w:hAnsi="Times New Roman"/>
          <w:b w:val="false"/>
          <w:i w:val="false"/>
          <w:color w:val="000000"/>
          <w:sz w:val="22"/>
        </w:rPr>
        <w:t>All landfarms shall meet the following site exploration and suitability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120.7(1)</w:t>
      </w:r>
      <w:r>
        <w:rPr>
          <w:rFonts w:ascii="Times New Roman" w:hAnsi="Times New Roman"/>
          <w:b w:val="false"/>
          <w:i w:val="false"/>
          <w:color w:val="000000"/>
          <w:sz w:val="22"/>
        </w:rPr>
        <w:t> </w:t>
      </w:r>
      <w:r>
        <w:rPr>
          <w:rFonts w:ascii="Times New Roman" w:hAnsi="Times New Roman"/>
          <w:b w:val="false"/>
          <w:i/>
          <w:color w:val="000000"/>
          <w:sz w:val="22"/>
        </w:rPr>
        <w:t xml:space="preserve">Previous use. </w:t>
      </w:r>
      <w:r>
        <w:rPr>
          <w:rFonts w:ascii="Times New Roman" w:hAnsi="Times New Roman"/>
          <w:b w:val="false"/>
          <w:i w:val="false"/>
          <w:color w:val="000000"/>
          <w:sz w:val="22"/>
        </w:rPr>
        <w:t>If a site is to be used as a landfarm, then the landfarm applicator shall obtain written confirmation from the site owner of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any other landfarm created in the past three years within 15 feet of the proposed landfarm plot has been closed pursuant to </w:t>
      </w:r>
      <w:hyperlink r:id="rId28">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no area within 15 feet of the proposed landfarm plot has been used as a landfarm in the past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w:t>
      </w:r>
      <w:r>
        <w:rPr>
          <w:rFonts w:ascii="Times New Roman" w:hAnsi="Times New Roman"/>
          <w:b w:val="false"/>
          <w:i w:val="false"/>
          <w:color w:val="000000"/>
          <w:sz w:val="22"/>
        </w:rPr>
        <w:t> </w:t>
      </w:r>
      <w:r>
        <w:rPr>
          <w:rFonts w:ascii="Times New Roman" w:hAnsi="Times New Roman"/>
          <w:b w:val="false"/>
          <w:i/>
          <w:color w:val="000000"/>
          <w:sz w:val="22"/>
        </w:rPr>
        <w:t xml:space="preserve">Wells. </w:t>
      </w:r>
      <w:r>
        <w:rPr>
          <w:rFonts w:ascii="Times New Roman" w:hAnsi="Times New Roman"/>
          <w:b w:val="false"/>
          <w:i w:val="false"/>
          <w:color w:val="000000"/>
          <w:sz w:val="22"/>
        </w:rPr>
        <w:t>PCS shall not be landfarmed or stored within 500 feet of a well that is being used or could be used for human or livestock consumption. The department may also exempt from this requirement extraction wells utilized as part of a remediation system. PCS shall not be landfarmed or stored within 500 feet of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120.7(3)</w:t>
      </w:r>
      <w:r>
        <w:rPr>
          <w:rFonts w:ascii="Times New Roman" w:hAnsi="Times New Roman"/>
          <w:b w:val="false"/>
          <w:i w:val="false"/>
          <w:color w:val="000000"/>
          <w:sz w:val="22"/>
        </w:rPr>
        <w:t> </w:t>
      </w:r>
      <w:r>
        <w:rPr>
          <w:rFonts w:ascii="Times New Roman" w:hAnsi="Times New Roman"/>
          <w:b w:val="false"/>
          <w:i/>
          <w:color w:val="000000"/>
          <w:sz w:val="22"/>
        </w:rPr>
        <w:t xml:space="preserve">Sinkholes. </w:t>
      </w:r>
      <w:r>
        <w:rPr>
          <w:rFonts w:ascii="Times New Roman" w:hAnsi="Times New Roman"/>
          <w:b w:val="false"/>
          <w:i w:val="false"/>
          <w:color w:val="000000"/>
          <w:sz w:val="22"/>
        </w:rPr>
        <w:t>PCS shall not be landfarmed or stored within 500 feet of a sinkhole.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120.7(4)</w:t>
      </w:r>
      <w:r>
        <w:rPr>
          <w:rFonts w:ascii="Times New Roman" w:hAnsi="Times New Roman"/>
          <w:b w:val="false"/>
          <w:i w:val="false"/>
          <w:color w:val="000000"/>
          <w:sz w:val="22"/>
        </w:rPr>
        <w:t> </w:t>
      </w:r>
      <w:r>
        <w:rPr>
          <w:rFonts w:ascii="Times New Roman" w:hAnsi="Times New Roman"/>
          <w:b w:val="false"/>
          <w:i/>
          <w:color w:val="000000"/>
          <w:sz w:val="22"/>
        </w:rPr>
        <w:t xml:space="preserve">Surface waters of the state. </w:t>
      </w:r>
      <w:r>
        <w:rPr>
          <w:rFonts w:ascii="Times New Roman" w:hAnsi="Times New Roman"/>
          <w:b w:val="false"/>
          <w:i w:val="false"/>
          <w:color w:val="000000"/>
          <w:sz w:val="22"/>
        </w:rPr>
        <w:t>PCS shall not be landfarmed or stored within 200 feet of a stream, lake, pond, wetland, or other surface water of the state. The department may waive the setback requirement for surface waters that have been constructed for pollution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120.7(5)</w:t>
      </w:r>
      <w:r>
        <w:rPr>
          <w:rFonts w:ascii="Times New Roman" w:hAnsi="Times New Roman"/>
          <w:b w:val="false"/>
          <w:i w:val="false"/>
          <w:color w:val="000000"/>
          <w:sz w:val="22"/>
        </w:rPr>
        <w:t> </w:t>
      </w:r>
      <w:r>
        <w:rPr>
          <w:rFonts w:ascii="Times New Roman" w:hAnsi="Times New Roman"/>
          <w:b w:val="false"/>
          <w:i/>
          <w:color w:val="000000"/>
          <w:sz w:val="22"/>
        </w:rPr>
        <w:t xml:space="preserve">Tile lines. </w:t>
      </w:r>
      <w:r>
        <w:rPr>
          <w:rFonts w:ascii="Times New Roman" w:hAnsi="Times New Roman"/>
          <w:b w:val="false"/>
          <w:i w:val="false"/>
          <w:color w:val="000000"/>
          <w:sz w:val="22"/>
        </w:rPr>
        <w:t xml:space="preserve">PCS shall not be landfarmed or stored within 200 feet of a tile line surface intake.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120.7(6)</w:t>
      </w:r>
      <w:r>
        <w:rPr>
          <w:rFonts w:ascii="Times New Roman" w:hAnsi="Times New Roman"/>
          <w:b w:val="false"/>
          <w:i w:val="false"/>
          <w:color w:val="000000"/>
          <w:sz w:val="22"/>
        </w:rPr>
        <w:t> </w:t>
      </w:r>
      <w:r>
        <w:rPr>
          <w:rFonts w:ascii="Times New Roman" w:hAnsi="Times New Roman"/>
          <w:b w:val="false"/>
          <w:i/>
          <w:color w:val="000000"/>
          <w:sz w:val="22"/>
        </w:rPr>
        <w:t xml:space="preserve">Housing and sensitive populations. </w:t>
      </w:r>
      <w:r>
        <w:rPr>
          <w:rFonts w:ascii="Times New Roman" w:hAnsi="Times New Roman"/>
          <w:b w:val="false"/>
          <w:i w:val="false"/>
          <w:color w:val="000000"/>
          <w:sz w:val="22"/>
        </w:rPr>
        <w:t>PCS shall not be landfarmed or stored within 200 feet of an occupied residence, recreational area, child care facility, educational facility,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120.7(7)</w:t>
      </w:r>
      <w:r>
        <w:rPr>
          <w:rFonts w:ascii="Times New Roman" w:hAnsi="Times New Roman"/>
          <w:b w:val="false"/>
          <w:i w:val="false"/>
          <w:color w:val="000000"/>
          <w:sz w:val="22"/>
        </w:rPr>
        <w:t> </w:t>
      </w:r>
      <w:r>
        <w:rPr>
          <w:rFonts w:ascii="Times New Roman" w:hAnsi="Times New Roman"/>
          <w:b w:val="false"/>
          <w:i/>
          <w:color w:val="000000"/>
          <w:sz w:val="22"/>
        </w:rPr>
        <w:t xml:space="preserve">Flood plains. </w:t>
      </w:r>
      <w:r>
        <w:rPr>
          <w:rFonts w:ascii="Times New Roman" w:hAnsi="Times New Roman"/>
          <w:b w:val="false"/>
          <w:i w:val="false"/>
          <w:color w:val="000000"/>
          <w:sz w:val="22"/>
        </w:rPr>
        <w:t>PCS shall not be landfarmed or stored within the 100-year flood 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120.7(8)</w:t>
      </w:r>
      <w:r>
        <w:rPr>
          <w:rFonts w:ascii="Times New Roman" w:hAnsi="Times New Roman"/>
          <w:b w:val="false"/>
          <w:i w:val="false"/>
          <w:color w:val="000000"/>
          <w:sz w:val="22"/>
        </w:rPr>
        <w:t> </w:t>
      </w:r>
      <w:r>
        <w:rPr>
          <w:rFonts w:ascii="Times New Roman" w:hAnsi="Times New Roman"/>
          <w:b w:val="false"/>
          <w:i/>
          <w:color w:val="000000"/>
          <w:sz w:val="22"/>
        </w:rPr>
        <w:t xml:space="preserve">Slope. </w:t>
      </w:r>
      <w:r>
        <w:rPr>
          <w:rFonts w:ascii="Times New Roman" w:hAnsi="Times New Roman"/>
          <w:b w:val="false"/>
          <w:i w:val="false"/>
          <w:color w:val="000000"/>
          <w:sz w:val="22"/>
        </w:rPr>
        <w:t>PCS shall not be landfarmed or stored on slopes greater than 5 percent. This requirement may be satisfied by utilizing United States Department of Agriculture (USDA) soil maps.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120.7(9)</w:t>
      </w:r>
      <w:r>
        <w:rPr>
          <w:rFonts w:ascii="Times New Roman" w:hAnsi="Times New Roman"/>
          <w:b w:val="false"/>
          <w:i w:val="false"/>
          <w:color w:val="000000"/>
          <w:sz w:val="22"/>
        </w:rPr>
        <w:t> </w:t>
      </w:r>
      <w:r>
        <w:rPr>
          <w:rFonts w:ascii="Times New Roman" w:hAnsi="Times New Roman"/>
          <w:b w:val="false"/>
          <w:i/>
          <w:color w:val="000000"/>
          <w:sz w:val="22"/>
        </w:rPr>
        <w:t xml:space="preserve">Soil properties for landfarm plot. </w:t>
      </w:r>
      <w:r>
        <w:rPr>
          <w:rFonts w:ascii="Times New Roman" w:hAnsi="Times New Roman"/>
          <w:b w:val="false"/>
          <w:i w:val="false"/>
          <w:color w:val="000000"/>
          <w:sz w:val="22"/>
        </w:rPr>
        <w:t>All soils in the landfarm plot of the landfarm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USDA textural soil classification. </w:t>
      </w:r>
      <w:r>
        <w:rPr>
          <w:rFonts w:ascii="Times New Roman" w:hAnsi="Times New Roman"/>
          <w:b w:val="false"/>
          <w:i w:val="false"/>
          <w:color w:val="000000"/>
          <w:sz w:val="22"/>
        </w:rPr>
        <w:t>Soils in the landfarm plot of landfarms shall be clay, sandy clay, sandy clay loam, sandy loam, silty clay, silt clay loam, clay loam, loam, or silt loam as classified by the USDA Textural Classification Chart for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Stones and debris. </w:t>
      </w:r>
      <w:r>
        <w:rPr>
          <w:rFonts w:ascii="Times New Roman" w:hAnsi="Times New Roman"/>
          <w:b w:val="false"/>
          <w:i w:val="false"/>
          <w:color w:val="000000"/>
          <w:sz w:val="22"/>
        </w:rPr>
        <w:t>Soils in the landfarm plot shall be free of stones and debris larger than 4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pH. </w:t>
      </w:r>
      <w:r>
        <w:rPr>
          <w:rFonts w:ascii="Times New Roman" w:hAnsi="Times New Roman"/>
          <w:b w:val="false"/>
          <w:i w:val="false"/>
          <w:color w:val="000000"/>
          <w:sz w:val="22"/>
        </w:rPr>
        <w:t>Soils in the landfarm plot shall have a pH greater than or equal to 6 and less than or equal to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Bedrock separation. </w:t>
      </w:r>
      <w:r>
        <w:rPr>
          <w:rFonts w:ascii="Times New Roman" w:hAnsi="Times New Roman"/>
          <w:b w:val="false"/>
          <w:i w:val="false"/>
          <w:color w:val="000000"/>
          <w:sz w:val="22"/>
        </w:rPr>
        <w:t>The landfarm plot shall have a minimum of 6 feet of soil over bedrock.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567—120.8</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landfarms. </w:t>
      </w:r>
      <w:r>
        <w:rPr>
          <w:rFonts w:ascii="Times New Roman" w:hAnsi="Times New Roman"/>
          <w:b w:val="false"/>
          <w:i w:val="false"/>
          <w:color w:val="000000"/>
          <w:sz w:val="22"/>
        </w:rPr>
        <w:t>All landfarms shall comply with the following design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PCS storage areas. </w:t>
      </w:r>
      <w:r>
        <w:rPr>
          <w:rFonts w:ascii="Times New Roman" w:hAnsi="Times New Roman"/>
          <w:b w:val="false"/>
          <w:i w:val="false"/>
          <w:color w:val="000000"/>
          <w:sz w:val="22"/>
        </w:rPr>
        <w:t>Storage areas for PCS shall be constructed in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 an impervious surface (e.g., tarp, concrete pad, plastic sheeting).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a roof or tarp to minimize the infiltration of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area with minimal potential for stormwater run-on.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Flagging. </w:t>
      </w:r>
      <w:r>
        <w:rPr>
          <w:rFonts w:ascii="Times New Roman" w:hAnsi="Times New Roman"/>
          <w:b w:val="false"/>
          <w:i w:val="false"/>
          <w:color w:val="000000"/>
          <w:sz w:val="22"/>
        </w:rPr>
        <w:t xml:space="preserve">The landfarm plot(s) upon which PCS is land applied shall be flagged pursuant to </w:t>
      </w:r>
      <w:hyperlink r:id="rId29">
        <w:r>
          <w:rPr>
            <w:rStyle w:val="Hyperlink"/>
            <w:rFonts w:ascii="Times New Roman" w:hAnsi="Times New Roman"/>
            <w:b w:val="false"/>
            <w:i w:val="false"/>
            <w:color w:val="000000"/>
            <w:sz w:val="22"/>
          </w:rPr>
          <w:t>subrule 120.9(7)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multiuse landfarms.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4/19/23</w:t>
      </w:r>
      <w:r>
        <w:rPr>
          <w:rFonts w:ascii="Times New Roman" w:hAnsi="Times New Roman"/>
          <w:b w:val="false"/>
          <w:i w:val="false"/>
          <w:color w:val="000000"/>
          <w:sz w:val="22"/>
        </w:rPr>
        <w:t>, effective 5/24/23.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567—120.9</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operating requirements. </w:t>
      </w:r>
      <w:r>
        <w:rPr>
          <w:rFonts w:ascii="Times New Roman" w:hAnsi="Times New Roman"/>
          <w:b w:val="false"/>
          <w:i w:val="false"/>
          <w:color w:val="000000"/>
          <w:sz w:val="22"/>
        </w:rPr>
        <w:t>All landfarms shall comply with the following operating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120.9(1)</w:t>
      </w:r>
      <w:r>
        <w:rPr>
          <w:rFonts w:ascii="Times New Roman" w:hAnsi="Times New Roman"/>
          <w:b w:val="false"/>
          <w:i w:val="false"/>
          <w:color w:val="000000"/>
          <w:sz w:val="22"/>
        </w:rPr>
        <w:t> </w:t>
      </w:r>
      <w:r>
        <w:rPr>
          <w:rFonts w:ascii="Times New Roman" w:hAnsi="Times New Roman"/>
          <w:b w:val="false"/>
          <w:i/>
          <w:color w:val="000000"/>
          <w:sz w:val="22"/>
        </w:rPr>
        <w:t xml:space="preserve">Standard PCS. </w:t>
      </w:r>
      <w:r>
        <w:rPr>
          <w:rFonts w:ascii="Times New Roman" w:hAnsi="Times New Roman"/>
          <w:b w:val="false"/>
          <w:i w:val="false"/>
          <w:color w:val="000000"/>
          <w:sz w:val="22"/>
        </w:rPr>
        <w:t xml:space="preserve">Only standard PCS may be land applied or stored at a landfarm without a permit amendment from the department. A permit amendment from the department, pursuant to </w:t>
      </w:r>
      <w:hyperlink r:id="rId30">
        <w:r>
          <w:rPr>
            <w:rStyle w:val="Hyperlink"/>
            <w:rFonts w:ascii="Times New Roman" w:hAnsi="Times New Roman"/>
            <w:b w:val="false"/>
            <w:i w:val="false"/>
            <w:color w:val="000000"/>
            <w:sz w:val="22"/>
          </w:rPr>
          <w:t>subrule 120.4(10)</w:t>
        </w:r>
      </w:hyperlink>
      <w:r>
        <w:rPr>
          <w:rFonts w:ascii="Times New Roman" w:hAnsi="Times New Roman"/>
          <w:b w:val="false"/>
          <w:i w:val="false"/>
          <w:color w:val="000000"/>
          <w:sz w:val="22"/>
        </w:rPr>
        <w:t>, shall be obtained for each particular source and type of nonstandard PCS before that PCS may be land applied or stored at a landfarm. The permit amendment application shall include a justification of how the PCS can be safely and effectively remediated by landfarming.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120.9(2)</w:t>
      </w:r>
      <w:r>
        <w:rPr>
          <w:rFonts w:ascii="Times New Roman" w:hAnsi="Times New Roman"/>
          <w:b w:val="false"/>
          <w:i w:val="false"/>
          <w:color w:val="000000"/>
          <w:sz w:val="22"/>
        </w:rPr>
        <w:t> </w:t>
      </w:r>
      <w:r>
        <w:rPr>
          <w:rFonts w:ascii="Times New Roman" w:hAnsi="Times New Roman"/>
          <w:b w:val="false"/>
          <w:i/>
          <w:color w:val="000000"/>
          <w:sz w:val="22"/>
        </w:rPr>
        <w:t xml:space="preserve">Saturated or slurry PCS. </w:t>
      </w:r>
      <w:r>
        <w:rPr>
          <w:rFonts w:ascii="Times New Roman" w:hAnsi="Times New Roman"/>
          <w:b w:val="false"/>
          <w:i w:val="false"/>
          <w:color w:val="000000"/>
          <w:sz w:val="22"/>
        </w:rPr>
        <w:t>PCS in a saturated or slurry condition shall not be applied to the land or stored at a landfarm. PCS in such a condition shall be bulked with other biodegradable materials (e.g., compost, mulch) until it is no longer saturated or in a slurry before it is applied to the land or stored at a landfarm.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120.9(3)</w:t>
      </w:r>
      <w:r>
        <w:rPr>
          <w:rFonts w:ascii="Times New Roman" w:hAnsi="Times New Roman"/>
          <w:b w:val="false"/>
          <w:i w:val="false"/>
          <w:color w:val="000000"/>
          <w:sz w:val="22"/>
        </w:rPr>
        <w:t> </w:t>
      </w:r>
      <w:r>
        <w:rPr>
          <w:rFonts w:ascii="Times New Roman" w:hAnsi="Times New Roman"/>
          <w:b w:val="false"/>
          <w:i/>
          <w:color w:val="000000"/>
          <w:sz w:val="22"/>
        </w:rPr>
        <w:t xml:space="preserve">PCS delivery and storage. </w:t>
      </w:r>
      <w:r>
        <w:rPr>
          <w:rFonts w:ascii="Times New Roman" w:hAnsi="Times New Roman"/>
          <w:b w:val="false"/>
          <w:i w:val="false"/>
          <w:color w:val="000000"/>
          <w:sz w:val="22"/>
        </w:rPr>
        <w:t xml:space="preserve">Only PCS that is from an emergency cleanup may be delivered during the non-landfarm season. PCS delivered during non-landfarm season may be stored as follows until the conditions of </w:t>
      </w:r>
      <w:hyperlink r:id="rId31">
        <w:r>
          <w:rPr>
            <w:rStyle w:val="Hyperlink"/>
            <w:rFonts w:ascii="Times New Roman" w:hAnsi="Times New Roman"/>
            <w:b w:val="false"/>
            <w:i w:val="false"/>
            <w:color w:val="000000"/>
            <w:sz w:val="22"/>
          </w:rPr>
          <w:t>subrule 120.9(4)</w:t>
        </w:r>
      </w:hyperlink>
      <w:r>
        <w:rPr>
          <w:rFonts w:ascii="Times New Roman" w:hAnsi="Times New Roman"/>
          <w:b w:val="false"/>
          <w:i w:val="false"/>
          <w:color w:val="000000"/>
          <w:sz w:val="22"/>
        </w:rPr>
        <w:t xml:space="preserve"> are satisfied or within the first seven days of landfarm season, whichever is shorter. PCS that cannot immediately be applied to the land at the landfarm during landfarm season may be stored at the landfarm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Seven days or less. </w:t>
      </w:r>
      <w:r>
        <w:rPr>
          <w:rFonts w:ascii="Times New Roman" w:hAnsi="Times New Roman"/>
          <w:b w:val="false"/>
          <w:i w:val="false"/>
          <w:color w:val="000000"/>
          <w:sz w:val="22"/>
        </w:rPr>
        <w:t>PCS may be stored up to seven days in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 an impervious surface (e.g., tarp, concrete pad, plastic sheeting).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a roof or tarp to minimize the infiltration of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area with minimal potential for stormwater run-on.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Extended storage time. </w:t>
      </w:r>
      <w:r>
        <w:rPr>
          <w:rFonts w:ascii="Times New Roman" w:hAnsi="Times New Roman"/>
          <w:b w:val="false"/>
          <w:i w:val="false"/>
          <w:color w:val="000000"/>
          <w:sz w:val="22"/>
        </w:rPr>
        <w:t>No PCS shall be stored longer than seven days during landfarm season without written permission from the department field office that has jurisdiction over the landfarm.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120.9(4)</w:t>
      </w:r>
      <w:r>
        <w:rPr>
          <w:rFonts w:ascii="Times New Roman" w:hAnsi="Times New Roman"/>
          <w:b w:val="false"/>
          <w:i w:val="false"/>
          <w:color w:val="000000"/>
          <w:sz w:val="22"/>
        </w:rPr>
        <w:t> </w:t>
      </w:r>
      <w:r>
        <w:rPr>
          <w:rFonts w:ascii="Times New Roman" w:hAnsi="Times New Roman"/>
          <w:b w:val="false"/>
          <w:i/>
          <w:color w:val="000000"/>
          <w:sz w:val="22"/>
        </w:rPr>
        <w:t xml:space="preserve">PCS application weather and landfarm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PCS shall only be applied to the land during non-landfarm season if the PCS must be applied to the land as part of an emergency cleanup supervised by the department pursuant to </w:t>
      </w:r>
      <w:hyperlink r:id="rId32">
        <w:r>
          <w:rPr>
            <w:rStyle w:val="Hyperlink"/>
            <w:rFonts w:ascii="Times New Roman" w:hAnsi="Times New Roman"/>
            <w:b w:val="false"/>
            <w:i w:val="false"/>
            <w:color w:val="000000"/>
            <w:sz w:val="22"/>
          </w:rPr>
          <w:t>subrule 120.6(1)</w:t>
        </w:r>
      </w:hyperlink>
      <w:r>
        <w:rPr>
          <w:rFonts w:ascii="Times New Roman" w:hAnsi="Times New Roman"/>
          <w:b w:val="false"/>
          <w:i w:val="false"/>
          <w:color w:val="000000"/>
          <w:sz w:val="22"/>
        </w:rPr>
        <w:t>, or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landfarm plot is free of snow.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slope of the landfarm plot is less than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PCS is incorporated into the soil as soon as site conditions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PCS shall not be applied to the land during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120.9(5)</w:t>
      </w:r>
      <w:r>
        <w:rPr>
          <w:rFonts w:ascii="Times New Roman" w:hAnsi="Times New Roman"/>
          <w:b w:val="false"/>
          <w:i w:val="false"/>
          <w:color w:val="000000"/>
          <w:sz w:val="22"/>
        </w:rPr>
        <w:t> </w:t>
      </w:r>
      <w:r>
        <w:rPr>
          <w:rFonts w:ascii="Times New Roman" w:hAnsi="Times New Roman"/>
          <w:b w:val="false"/>
          <w:i/>
          <w:color w:val="000000"/>
          <w:sz w:val="22"/>
        </w:rPr>
        <w:t xml:space="preserve">One application, source and type of PCS per plot. </w:t>
      </w:r>
      <w:r>
        <w:rPr>
          <w:rFonts w:ascii="Times New Roman" w:hAnsi="Times New Roman"/>
          <w:b w:val="false"/>
          <w:i w:val="false"/>
          <w:color w:val="000000"/>
          <w:sz w:val="22"/>
        </w:rPr>
        <w:t>One application of a particular source and type of PCS may be applied to a landfarm plot. A landfarm may only apply a subsequent application of PCS to a previously utilized landfarm plot if such application is in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plot has been tested pursuant to subparagraphs </w:t>
      </w:r>
      <w:hyperlink r:id="rId33">
        <w:r>
          <w:rPr>
            <w:rStyle w:val="Hyperlink"/>
            <w:rFonts w:ascii="Times New Roman" w:hAnsi="Times New Roman"/>
            <w:b w:val="false"/>
            <w:i w:val="false"/>
            <w:color w:val="000000"/>
            <w:sz w:val="22"/>
          </w:rPr>
          <w:t>120.6(2)</w:t>
        </w:r>
      </w:hyperlink>
      <w:r>
        <w:rPr>
          <w:rFonts w:ascii="Times New Roman" w:hAnsi="Times New Roman"/>
          <w:b w:val="false"/>
          <w:i/>
          <w:color w:val="000000"/>
          <w:sz w:val="22"/>
        </w:rPr>
        <w:t>“c”</w:t>
      </w:r>
      <w:r>
        <w:rPr>
          <w:rFonts w:ascii="Times New Roman" w:hAnsi="Times New Roman"/>
          <w:b w:val="false"/>
          <w:i w:val="false"/>
          <w:color w:val="000000"/>
          <w:sz w:val="22"/>
        </w:rPr>
        <w:t>(1), (2), and (3), and the results demonstrate that petroleum constituent concentrations are less than 0.54 mg/kg for benzene, 42 mg/kg for toluene, 15 mg/kg for ethylbenzene, 3800 mg/kg for TEH-diesel, and 0.02 mg/kg for MTBE.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subsequent application of a particular source and type of PCS may not be applied within 15 feet of an area used as a single-use landfarm until the single-use landfarm is closed pursuant to </w:t>
      </w:r>
      <w:hyperlink r:id="rId34">
        <w:r>
          <w:rPr>
            <w:rStyle w:val="Hyperlink"/>
            <w:rFonts w:ascii="Times New Roman" w:hAnsi="Times New Roman"/>
            <w:b w:val="false"/>
            <w:i w:val="false"/>
            <w:color w:val="000000"/>
            <w:sz w:val="22"/>
          </w:rPr>
          <w:t>subrule 120.12(2)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120.9(6)</w:t>
      </w:r>
      <w:r>
        <w:rPr>
          <w:rFonts w:ascii="Times New Roman" w:hAnsi="Times New Roman"/>
          <w:b w:val="false"/>
          <w:i w:val="false"/>
          <w:color w:val="000000"/>
          <w:sz w:val="22"/>
        </w:rPr>
        <w:t> </w:t>
      </w:r>
      <w:r>
        <w:rPr>
          <w:rFonts w:ascii="Times New Roman" w:hAnsi="Times New Roman"/>
          <w:b w:val="false"/>
          <w:i/>
          <w:color w:val="000000"/>
          <w:sz w:val="22"/>
        </w:rPr>
        <w:t xml:space="preserve">PCS application rates. </w:t>
      </w:r>
      <w:r>
        <w:rPr>
          <w:rFonts w:ascii="Times New Roman" w:hAnsi="Times New Roman"/>
          <w:b w:val="false"/>
          <w:i w:val="false"/>
          <w:color w:val="000000"/>
          <w:sz w:val="22"/>
        </w:rPr>
        <w:t xml:space="preserve">PCS shall be land applied at a rate that is as uniform as practical over an area sufficient to satisfy the greater of the following area requirements. However, PCS from an emergency cleanup supervised by the department pursuant to </w:t>
      </w:r>
      <w:hyperlink r:id="rId35">
        <w:r>
          <w:rPr>
            <w:rStyle w:val="Hyperlink"/>
            <w:rFonts w:ascii="Times New Roman" w:hAnsi="Times New Roman"/>
            <w:b w:val="false"/>
            <w:i w:val="false"/>
            <w:color w:val="000000"/>
            <w:sz w:val="22"/>
          </w:rPr>
          <w:t>subrule 120.6(1)</w:t>
        </w:r>
      </w:hyperlink>
      <w:r>
        <w:rPr>
          <w:rFonts w:ascii="Times New Roman" w:hAnsi="Times New Roman"/>
          <w:b w:val="false"/>
          <w:i w:val="false"/>
          <w:color w:val="000000"/>
          <w:sz w:val="22"/>
        </w:rPr>
        <w:t xml:space="preserve"> may instead be land applied at a rate of 162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landfarm area per cubic yard (yd</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of PCS, that is as uniform as practical, and in which no layer of unincorporated PCS is thicker than 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Petroleum constituents. </w:t>
      </w:r>
      <w:r>
        <w:rPr>
          <w:rFonts w:ascii="Times New Roman" w:hAnsi="Times New Roman"/>
          <w:b w:val="false"/>
          <w:i w:val="false"/>
          <w:color w:val="000000"/>
          <w:sz w:val="22"/>
        </w:rPr>
        <w:t>PCS shall be land applied over the largest area required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Benzene. PCS contaminated with benzene shall be land applied in accordance with Table 1. The average concentration of benzene in the PCS shall be used to determine the landfarm area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required per cubic yard (yd</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of PCS to be land applied. The average concentration of benzene shall be calculated from all soil boring test results that are within the PCS excavation area. The application shall be as uniform as practical over the area required.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8"/>
        <w:gridCol w:w="2798"/>
        <w:gridCol w:w="2797"/>
        <w:gridCol w:w="2797"/>
      </w:tblGrid>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Table 1</w:t>
            </w:r>
          </w:p>
        </w:tc>
      </w:tr>
      <w:tr>
        <w:trPr>
          <w:trHeight w:val="435" w:hRule="atLeast"/>
        </w:trPr>
        <w:tc>
          <w:tcPr>
            <w:tcW w:w="27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Average concentration of benzene (mg/kg)</w:t>
            </w:r>
          </w:p>
        </w:tc>
        <w:tc>
          <w:tcPr>
            <w:tcW w:w="27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Ft</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of landfarm area per yd</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 of PCS applied</w:t>
            </w:r>
          </w:p>
        </w:tc>
        <w:tc>
          <w:tcPr>
            <w:tcW w:w="27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Maximum thickness of unincorporated PCS</w:t>
            </w:r>
          </w:p>
        </w:tc>
        <w:tc>
          <w:tcPr>
            <w:tcW w:w="279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Yd</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 of PCS per acre of landfarm</w:t>
            </w:r>
          </w:p>
        </w:tc>
      </w:tr>
      <w:tr>
        <w:trPr>
          <w:trHeight w:val="255"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0&lt; mg/kg ≤10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 ft</w:t>
            </w:r>
            <w:r>
              <w:rPr>
                <w:rFonts w:ascii="Times New Roman" w:hAnsi="Times New Roman"/>
                <w:b w:val="false"/>
                <w:i w:val="false"/>
                <w:color w:val="000000"/>
                <w:sz w:val="18"/>
                <w:vertAlign w:val="superscript"/>
              </w:rPr>
              <w:t>2</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inches</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537 yd</w:t>
            </w:r>
            <w:r>
              <w:rPr>
                <w:rFonts w:ascii="Times New Roman" w:hAnsi="Times New Roman"/>
                <w:b w:val="false"/>
                <w:i w:val="false"/>
                <w:color w:val="000000"/>
                <w:sz w:val="18"/>
                <w:vertAlign w:val="superscript"/>
              </w:rPr>
              <w:t>3</w:t>
            </w:r>
          </w:p>
        </w:tc>
      </w:tr>
      <w:tr>
        <w:trPr>
          <w:trHeight w:val="255"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10&lt; mg/kg ≤20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162 ft</w:t>
            </w:r>
            <w:r>
              <w:rPr>
                <w:rFonts w:ascii="Times New Roman" w:hAnsi="Times New Roman"/>
                <w:b w:val="false"/>
                <w:i w:val="false"/>
                <w:color w:val="000000"/>
                <w:sz w:val="18"/>
                <w:vertAlign w:val="superscript"/>
              </w:rPr>
              <w:t>2</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 inches</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268 yd</w:t>
            </w:r>
            <w:r>
              <w:rPr>
                <w:rFonts w:ascii="Times New Roman" w:hAnsi="Times New Roman"/>
                <w:b w:val="false"/>
                <w:i w:val="false"/>
                <w:color w:val="000000"/>
                <w:sz w:val="18"/>
                <w:vertAlign w:val="superscript"/>
              </w:rPr>
              <w:t>3</w:t>
            </w:r>
          </w:p>
        </w:tc>
      </w:tr>
      <w:tr>
        <w:trPr>
          <w:trHeight w:val="255" w:hRule="atLeast"/>
        </w:trPr>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20&lt; mg/kg</w:t>
            </w:r>
          </w:p>
        </w:tc>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324 ft</w:t>
            </w:r>
            <w:r>
              <w:rPr>
                <w:rFonts w:ascii="Times New Roman" w:hAnsi="Times New Roman"/>
                <w:b w:val="false"/>
                <w:i w:val="false"/>
                <w:color w:val="000000"/>
                <w:sz w:val="18"/>
                <w:vertAlign w:val="superscript"/>
              </w:rPr>
              <w:t>2</w:t>
            </w:r>
          </w:p>
        </w:tc>
        <w:tc>
          <w:tcPr>
            <w:tcW w:w="27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inch</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 yd</w:t>
            </w:r>
            <w:r>
              <w:rPr>
                <w:rFonts w:ascii="Times New Roman" w:hAnsi="Times New Roman"/>
                <w:b w:val="false"/>
                <w:i w:val="false"/>
                <w:color w:val="000000"/>
                <w:sz w:val="18"/>
                <w:vertAlign w:val="superscript"/>
              </w:rPr>
              <w:t>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Toluene, ethylbenzene, xylene, and TEH-diesel. PCS that is not contaminated with benzene or MTBE, but is contaminated with toluene, ethylbenzene, xylene, TEH-diesel, or some combination thereof, shall be land applied at a rate of 81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landfarm area per cubic yard (yd</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of PCS. The application shall be as uniform as practical, and no layer of unincorporated PCS shall be thicker than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Total heavy metals. </w:t>
      </w:r>
      <w:r>
        <w:rPr>
          <w:rFonts w:ascii="Times New Roman" w:hAnsi="Times New Roman"/>
          <w:b w:val="false"/>
          <w:i w:val="false"/>
          <w:color w:val="000000"/>
          <w:sz w:val="22"/>
        </w:rPr>
        <w:t xml:space="preserve">PCS that has been tested for heavy metals pursuant to subparagraph </w:t>
      </w:r>
      <w:hyperlink r:id="rId36">
        <w:r>
          <w:rPr>
            <w:rStyle w:val="Hyperlink"/>
            <w:rFonts w:ascii="Times New Roman" w:hAnsi="Times New Roman"/>
            <w:b w:val="false"/>
            <w:i w:val="false"/>
            <w:color w:val="000000"/>
            <w:sz w:val="22"/>
          </w:rPr>
          <w:t>120.6(2)</w:t>
        </w:r>
      </w:hyperlink>
      <w:r>
        <w:rPr>
          <w:rFonts w:ascii="Times New Roman" w:hAnsi="Times New Roman"/>
          <w:b w:val="false"/>
          <w:i/>
          <w:color w:val="000000"/>
          <w:sz w:val="22"/>
        </w:rPr>
        <w:t>“c”</w:t>
      </w:r>
      <w:r>
        <w:rPr>
          <w:rFonts w:ascii="Times New Roman" w:hAnsi="Times New Roman"/>
          <w:b w:val="false"/>
          <w:i w:val="false"/>
          <w:color w:val="000000"/>
          <w:sz w:val="22"/>
        </w:rPr>
        <w:t>(4) shall be applied at a rate that is as uniform as practical, that results in no layer of PCS thicker than 4 inches, and that upon incorporation produces a landfarm soil that satisfies the following requirements. This analysis requires prior testing of background levels of heavy metals at the proposed landfarm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heavy metals are less than 2,500 milligrams per kilogram (mg/kg).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particular concentration of a heavy metal is less than the appropriate statewide standard for soil developed pursuant to </w:t>
      </w:r>
      <w:hyperlink r:id="rId37">
        <w:r>
          <w:rPr>
            <w:rStyle w:val="Hyperlink"/>
            <w:rFonts w:ascii="Times New Roman" w:hAnsi="Times New Roman"/>
            <w:b w:val="false"/>
            <w:i w:val="false"/>
            <w:color w:val="000000"/>
            <w:sz w:val="22"/>
          </w:rPr>
          <w:t>567—Chapter 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120.9(7)</w:t>
      </w:r>
      <w:r>
        <w:rPr>
          <w:rFonts w:ascii="Times New Roman" w:hAnsi="Times New Roman"/>
          <w:b w:val="false"/>
          <w:i w:val="false"/>
          <w:color w:val="000000"/>
          <w:sz w:val="22"/>
        </w:rPr>
        <w:t> </w:t>
      </w:r>
      <w:r>
        <w:rPr>
          <w:rFonts w:ascii="Times New Roman" w:hAnsi="Times New Roman"/>
          <w:b w:val="false"/>
          <w:i/>
          <w:color w:val="000000"/>
          <w:sz w:val="22"/>
        </w:rPr>
        <w:t xml:space="preserve">Flagging. </w:t>
      </w:r>
      <w:r>
        <w:rPr>
          <w:rFonts w:ascii="Times New Roman" w:hAnsi="Times New Roman"/>
          <w:b w:val="false"/>
          <w:i w:val="false"/>
          <w:color w:val="000000"/>
          <w:sz w:val="22"/>
        </w:rPr>
        <w:t xml:space="preserve">The landfarm plot(s) upon which PCS is land applied shall be flagged for one year after land application or until the landfarm is closed pursuant to </w:t>
      </w:r>
      <w:hyperlink r:id="rId38">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 whichever is shorter.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120.9(8)</w:t>
      </w:r>
      <w:r>
        <w:rPr>
          <w:rFonts w:ascii="Times New Roman" w:hAnsi="Times New Roman"/>
          <w:b w:val="false"/>
          <w:i w:val="false"/>
          <w:color w:val="000000"/>
          <w:sz w:val="22"/>
        </w:rPr>
        <w:t> </w:t>
      </w:r>
      <w:r>
        <w:rPr>
          <w:rFonts w:ascii="Times New Roman" w:hAnsi="Times New Roman"/>
          <w:b w:val="false"/>
          <w:i/>
          <w:color w:val="000000"/>
          <w:sz w:val="22"/>
        </w:rPr>
        <w:t xml:space="preserve">Removal of solid waste and rubble. </w:t>
      </w:r>
      <w:r>
        <w:rPr>
          <w:rFonts w:ascii="Times New Roman" w:hAnsi="Times New Roman"/>
          <w:b w:val="false"/>
          <w:i w:val="false"/>
          <w:color w:val="000000"/>
          <w:sz w:val="22"/>
        </w:rPr>
        <w:t>All solid waste that is not PCS (e.g., pipe) shall be removed and properly disposed of. All rubble, stones, and debris larger than 4 inches in diameter, or that interfere with incorporating and turning the PCS, shall be removed and properly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120.9(9)</w:t>
      </w:r>
      <w:r>
        <w:rPr>
          <w:rFonts w:ascii="Times New Roman" w:hAnsi="Times New Roman"/>
          <w:b w:val="false"/>
          <w:i w:val="false"/>
          <w:color w:val="000000"/>
          <w:sz w:val="22"/>
        </w:rPr>
        <w:t> </w:t>
      </w:r>
      <w:r>
        <w:rPr>
          <w:rFonts w:ascii="Times New Roman" w:hAnsi="Times New Roman"/>
          <w:b w:val="false"/>
          <w:i/>
          <w:color w:val="000000"/>
          <w:sz w:val="22"/>
        </w:rPr>
        <w:t xml:space="preserve">PCS incorporation. </w:t>
      </w:r>
      <w:r>
        <w:rPr>
          <w:rFonts w:ascii="Times New Roman" w:hAnsi="Times New Roman"/>
          <w:b w:val="false"/>
          <w:i w:val="false"/>
          <w:color w:val="000000"/>
          <w:sz w:val="22"/>
        </w:rPr>
        <w:t>PCS shall be incorporated into the soil by tilling, disking, or other suitable means within 48 hours of being land applied or before the next precipitation event, whichever is sooner. PCS shall not be incorporated deeper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120.9(10)</w:t>
      </w:r>
      <w:r>
        <w:rPr>
          <w:rFonts w:ascii="Times New Roman" w:hAnsi="Times New Roman"/>
          <w:b w:val="false"/>
          <w:i w:val="false"/>
          <w:color w:val="000000"/>
          <w:sz w:val="22"/>
        </w:rPr>
        <w:t> </w:t>
      </w:r>
      <w:r>
        <w:rPr>
          <w:rFonts w:ascii="Times New Roman" w:hAnsi="Times New Roman"/>
          <w:b w:val="false"/>
          <w:i/>
          <w:color w:val="000000"/>
          <w:sz w:val="22"/>
        </w:rPr>
        <w:t xml:space="preserve">Turning the PCS. </w:t>
      </w:r>
      <w:r>
        <w:rPr>
          <w:rFonts w:ascii="Times New Roman" w:hAnsi="Times New Roman"/>
          <w:b w:val="false"/>
          <w:i w:val="false"/>
          <w:color w:val="000000"/>
          <w:sz w:val="22"/>
        </w:rPr>
        <w:t>After incorporation, the PCS shall be turned by tilling, disking, or other suitable means at least once per month for the first three months during landfarm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120.9(11)</w:t>
      </w:r>
      <w:r>
        <w:rPr>
          <w:rFonts w:ascii="Times New Roman" w:hAnsi="Times New Roman"/>
          <w:b w:val="false"/>
          <w:i w:val="false"/>
          <w:color w:val="000000"/>
          <w:sz w:val="22"/>
        </w:rPr>
        <w:t> </w:t>
      </w:r>
      <w:r>
        <w:rPr>
          <w:rFonts w:ascii="Times New Roman" w:hAnsi="Times New Roman"/>
          <w:b w:val="false"/>
          <w:i/>
          <w:color w:val="000000"/>
          <w:sz w:val="22"/>
        </w:rPr>
        <w:t xml:space="preserve">No crops for consumption. </w:t>
      </w:r>
      <w:r>
        <w:rPr>
          <w:rFonts w:ascii="Times New Roman" w:hAnsi="Times New Roman"/>
          <w:b w:val="false"/>
          <w:i w:val="false"/>
          <w:color w:val="000000"/>
          <w:sz w:val="22"/>
        </w:rPr>
        <w:t xml:space="preserve">Landfarms shall not grow crops within 15 feet of a landfarm plot that is flagged pursuant to </w:t>
      </w:r>
      <w:hyperlink r:id="rId39">
        <w:r>
          <w:rPr>
            <w:rStyle w:val="Hyperlink"/>
            <w:rFonts w:ascii="Times New Roman" w:hAnsi="Times New Roman"/>
            <w:b w:val="false"/>
            <w:i w:val="false"/>
            <w:color w:val="000000"/>
            <w:sz w:val="22"/>
          </w:rPr>
          <w:t>subrule 120.9(7)</w:t>
        </w:r>
      </w:hyperlink>
      <w:r>
        <w:rPr>
          <w:rFonts w:ascii="Times New Roman" w:hAnsi="Times New Roman"/>
          <w:b w:val="false"/>
          <w:i w:val="false"/>
          <w:color w:val="000000"/>
          <w:sz w:val="22"/>
        </w:rPr>
        <w:t xml:space="preserve">. Crops for human and livestock consumption may be grown at a single-use landfarm after the landfarm plot is no longer required to be flagged pursuant to </w:t>
      </w:r>
      <w:hyperlink r:id="rId40">
        <w:r>
          <w:rPr>
            <w:rStyle w:val="Hyperlink"/>
            <w:rFonts w:ascii="Times New Roman" w:hAnsi="Times New Roman"/>
            <w:b w:val="false"/>
            <w:i w:val="false"/>
            <w:color w:val="000000"/>
            <w:sz w:val="22"/>
          </w:rPr>
          <w:t>subrule 120.9(7)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120.9(12)</w:t>
      </w:r>
      <w:r>
        <w:rPr>
          <w:rFonts w:ascii="Times New Roman" w:hAnsi="Times New Roman"/>
          <w:b w:val="false"/>
          <w:i w:val="false"/>
          <w:color w:val="000000"/>
          <w:sz w:val="22"/>
        </w:rPr>
        <w:t> </w:t>
      </w:r>
      <w:r>
        <w:rPr>
          <w:rFonts w:ascii="Times New Roman" w:hAnsi="Times New Roman"/>
          <w:b w:val="false"/>
          <w:i/>
          <w:color w:val="000000"/>
          <w:sz w:val="22"/>
        </w:rPr>
        <w:t xml:space="preserve">Removal of PCS from a landfarm. </w:t>
      </w:r>
      <w:r>
        <w:rPr>
          <w:rFonts w:ascii="Times New Roman" w:hAnsi="Times New Roman"/>
          <w:b w:val="false"/>
          <w:i w:val="false"/>
          <w:color w:val="000000"/>
          <w:sz w:val="22"/>
        </w:rPr>
        <w:t xml:space="preserve">PCS shall not be removed from a landfarm until the landfarm is closed pursuant to </w:t>
      </w:r>
      <w:hyperlink r:id="rId41">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 xml:space="preserve"> or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sample from each 2,500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(e.g., 50-foot × 50-foot area) of landfarm plot is analyzed pursuant to subparagraphs </w:t>
      </w:r>
      <w:hyperlink r:id="rId42">
        <w:r>
          <w:rPr>
            <w:rStyle w:val="Hyperlink"/>
            <w:rFonts w:ascii="Times New Roman" w:hAnsi="Times New Roman"/>
            <w:b w:val="false"/>
            <w:i w:val="false"/>
            <w:color w:val="000000"/>
            <w:sz w:val="22"/>
          </w:rPr>
          <w:t>120.6(2)</w:t>
        </w:r>
      </w:hyperlink>
      <w:r>
        <w:rPr>
          <w:rFonts w:ascii="Times New Roman" w:hAnsi="Times New Roman"/>
          <w:b w:val="false"/>
          <w:i/>
          <w:color w:val="000000"/>
          <w:sz w:val="22"/>
        </w:rPr>
        <w:t>“c”</w:t>
      </w:r>
      <w:r>
        <w:rPr>
          <w:rFonts w:ascii="Times New Roman" w:hAnsi="Times New Roman"/>
          <w:b w:val="false"/>
          <w:i w:val="false"/>
          <w:color w:val="000000"/>
          <w:sz w:val="22"/>
        </w:rPr>
        <w:t>(1), (2), and (3). A minimum of one sample per landfarm plot shall be obtained. All samples shall be obtained from between the top 2 to 6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tests in paragraph </w:t>
      </w:r>
      <w:hyperlink r:id="rId43">
        <w:r>
          <w:rPr>
            <w:rStyle w:val="Hyperlink"/>
            <w:rFonts w:ascii="Times New Roman" w:hAnsi="Times New Roman"/>
            <w:b w:val="false"/>
            <w:i w:val="false"/>
            <w:color w:val="000000"/>
            <w:sz w:val="22"/>
          </w:rPr>
          <w:t>120.12(2)</w:t>
        </w:r>
      </w:hyperlink>
      <w:r>
        <w:rPr>
          <w:rFonts w:ascii="Times New Roman" w:hAnsi="Times New Roman"/>
          <w:b w:val="false"/>
          <w:i/>
          <w:color w:val="000000"/>
          <w:sz w:val="22"/>
        </w:rPr>
        <w:t>“a”</w:t>
      </w:r>
      <w:r>
        <w:rPr>
          <w:rFonts w:ascii="Times New Roman" w:hAnsi="Times New Roman"/>
          <w:b w:val="false"/>
          <w:i w:val="false"/>
          <w:color w:val="000000"/>
          <w:sz w:val="22"/>
        </w:rPr>
        <w:t xml:space="preserve"> demonstrate that petroleum constituent concentrations for benzene, toluene, ethylbenzene, TEH-diesel, and MTBE are below the detection limits required by </w:t>
      </w:r>
      <w:hyperlink r:id="rId4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the lab results, amount of PCS removed, and the exact final location of the PCS shall be maintained by the landfarm.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567—120.10</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Emergency response and remedial action plan (ERRAP) documents shall be readily available. Landfarm applicators shall have employees carry a copy of the ERRAP document to each site where operations are taking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120.10(2)</w:t>
      </w:r>
      <w:r>
        <w:rPr>
          <w:rFonts w:ascii="Times New Roman" w:hAnsi="Times New Roman"/>
          <w:b w:val="false"/>
          <w:i w:val="false"/>
          <w:color w:val="000000"/>
          <w:sz w:val="22"/>
        </w:rPr>
        <w:t> </w:t>
      </w:r>
      <w:r>
        <w:rPr>
          <w:rFonts w:ascii="Times New Roman" w:hAnsi="Times New Roman"/>
          <w:b w:val="false"/>
          <w:i/>
          <w:color w:val="000000"/>
          <w:sz w:val="22"/>
        </w:rPr>
        <w:t xml:space="preserve">Updates. </w:t>
      </w:r>
      <w:r>
        <w:rPr>
          <w:rFonts w:ascii="Times New Roman" w:hAnsi="Times New Roman"/>
          <w:b w:val="false"/>
          <w:i w:val="false"/>
          <w:color w:val="000000"/>
          <w:sz w:val="22"/>
        </w:rPr>
        <w:t>An updated ERRAP shall be included with any request for permit modification to incorporate a facility or operational change that requires modification of the currently approved ERRAP.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120.10(3)</w:t>
      </w:r>
      <w:r>
        <w:rPr>
          <w:rFonts w:ascii="Times New Roman" w:hAnsi="Times New Roman"/>
          <w:b w:val="false"/>
          <w:i w:val="false"/>
          <w:color w:val="000000"/>
          <w:sz w:val="22"/>
        </w:rPr>
        <w:t> </w:t>
      </w:r>
      <w:r>
        <w:rPr>
          <w:rFonts w:ascii="Times New Roman" w:hAnsi="Times New Roman"/>
          <w:b w:val="false"/>
          <w:i/>
          <w:color w:val="000000"/>
          <w:sz w:val="22"/>
        </w:rPr>
        <w:t xml:space="preserve">Employee training. </w:t>
      </w:r>
      <w:r>
        <w:rPr>
          <w:rFonts w:ascii="Times New Roman" w:hAnsi="Times New Roman"/>
          <w:b w:val="false"/>
          <w:i w:val="false"/>
          <w:color w:val="000000"/>
          <w:sz w:val="22"/>
        </w:rPr>
        <w:t>At a minimum, all employees shall receive annual training sufficient to understand and utilize ERRAP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120.10(4)</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not applicable must be provided either in the body of the plan or as a supplement. Additional ERRAP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DNR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Weather-related events.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Intense rainstorms and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Intense rainstorms or flooding impacting site access and usability.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Fire and explosions.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Flammable PCS.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Buildings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Waste gases from PCS.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Off-site fires or explosions at cleanup site or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Spills and releases.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Saturated or slurry PCS.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Free liquids from stored PCS.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of PCS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Hazardous waste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Hazardous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spill and release notification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response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County and city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 populations near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Primary emergency equipment inventory.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Fire hydrants and water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Off-site equipment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ERRAP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completion and record keeping.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567—120.11</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following information shall be submitted to the department on a form provided by the department. All reporting submissions shall include the name, address, and telephone number of the landfarm and permit holder, as well as the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Storage notification. </w:t>
      </w:r>
      <w:r>
        <w:rPr>
          <w:rFonts w:ascii="Times New Roman" w:hAnsi="Times New Roman"/>
          <w:b w:val="false"/>
          <w:i w:val="false"/>
          <w:color w:val="000000"/>
          <w:sz w:val="22"/>
        </w:rPr>
        <w:t xml:space="preserve">Landfarms shall submit the following information to the department and department field office with jurisdiction over the landfarm before receipt of the PCS for storage; however, at least 30 days’ notification is encouraged. PCS storage information from an emergency cleanup supervised by the department pursuant to </w:t>
      </w:r>
      <w:hyperlink r:id="rId45">
        <w:r>
          <w:rPr>
            <w:rStyle w:val="Hyperlink"/>
            <w:rFonts w:ascii="Times New Roman" w:hAnsi="Times New Roman"/>
            <w:b w:val="false"/>
            <w:i w:val="false"/>
            <w:color w:val="000000"/>
            <w:sz w:val="22"/>
          </w:rPr>
          <w:t>subrule 120.6(1)</w:t>
        </w:r>
      </w:hyperlink>
      <w:r>
        <w:rPr>
          <w:rFonts w:ascii="Times New Roman" w:hAnsi="Times New Roman"/>
          <w:b w:val="false"/>
          <w:i w:val="false"/>
          <w:color w:val="000000"/>
          <w:sz w:val="22"/>
        </w:rPr>
        <w:t>, however, shall be reported within 7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PCS is expected to be delivered for storage at the landfarm.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PCS will be stored at the landfarm.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spill number, UST registration number, and LUST number,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Land application notification. </w:t>
      </w:r>
      <w:r>
        <w:rPr>
          <w:rFonts w:ascii="Times New Roman" w:hAnsi="Times New Roman"/>
          <w:b w:val="false"/>
          <w:i w:val="false"/>
          <w:color w:val="000000"/>
          <w:sz w:val="22"/>
        </w:rPr>
        <w:t xml:space="preserve">Landfarms shall submit the following information to the department and department field office with jurisdiction over the landfarm before land application; however, at least 30 days’ notification is encouraged. PCS information from an emergency cleanup supervised by the department pursuant to </w:t>
      </w:r>
      <w:hyperlink r:id="rId46">
        <w:r>
          <w:rPr>
            <w:rStyle w:val="Hyperlink"/>
            <w:rFonts w:ascii="Times New Roman" w:hAnsi="Times New Roman"/>
            <w:b w:val="false"/>
            <w:i w:val="false"/>
            <w:color w:val="000000"/>
            <w:sz w:val="22"/>
          </w:rPr>
          <w:t>subrule 120.6(1)</w:t>
        </w:r>
      </w:hyperlink>
      <w:r>
        <w:rPr>
          <w:rFonts w:ascii="Times New Roman" w:hAnsi="Times New Roman"/>
          <w:b w:val="false"/>
          <w:i w:val="false"/>
          <w:color w:val="000000"/>
          <w:sz w:val="22"/>
        </w:rPr>
        <w:t>, however, shall be reported within 7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PCS is expected to be applied to the land. If the PCS is not applied on this date, the department shall be informed of the actual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address or parcel identification number for the landfarm location, a legible topographic map or aerial photo, a USDA soil map with key, and a map of the 100-year flood plain illustrating and labeling where the PCS is to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rate calculations pursuant to </w:t>
      </w:r>
      <w:hyperlink r:id="rId47">
        <w:r>
          <w:rPr>
            <w:rStyle w:val="Hyperlink"/>
            <w:rFonts w:ascii="Times New Roman" w:hAnsi="Times New Roman"/>
            <w:b w:val="false"/>
            <w:i w:val="false"/>
            <w:color w:val="000000"/>
            <w:sz w:val="22"/>
          </w:rPr>
          <w:t>subrule 120.9(6)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spill number, UST registration number, and LUST number,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PCS analysis and characterization. </w:t>
      </w:r>
      <w:r>
        <w:rPr>
          <w:rFonts w:ascii="Times New Roman" w:hAnsi="Times New Roman"/>
          <w:b w:val="false"/>
          <w:i w:val="false"/>
          <w:color w:val="000000"/>
          <w:sz w:val="22"/>
        </w:rPr>
        <w:t xml:space="preserve">Information on the analysis and characterization of the PCS pursuant to </w:t>
      </w:r>
      <w:hyperlink r:id="rId48">
        <w:r>
          <w:rPr>
            <w:rStyle w:val="Hyperlink"/>
            <w:rFonts w:ascii="Times New Roman" w:hAnsi="Times New Roman"/>
            <w:b w:val="false"/>
            <w:i w:val="false"/>
            <w:color w:val="000000"/>
            <w:sz w:val="22"/>
          </w:rPr>
          <w:t>rule 567—120.6(455B)</w:t>
        </w:r>
      </w:hyperlink>
      <w:r>
        <w:rPr>
          <w:rFonts w:ascii="Times New Roman" w:hAnsi="Times New Roman"/>
          <w:b w:val="false"/>
          <w:i w:val="false"/>
          <w:color w:val="000000"/>
          <w:sz w:val="22"/>
        </w:rPr>
        <w:t xml:space="preserve"> shall be submitted to the department before receipt of the PCS for storage or land application; however, at least 30 days’ notification is encouraged. PCS analysis and characterization information from an emergency cleanup supervised by the department pursuant to </w:t>
      </w:r>
      <w:hyperlink r:id="rId49">
        <w:r>
          <w:rPr>
            <w:rStyle w:val="Hyperlink"/>
            <w:rFonts w:ascii="Times New Roman" w:hAnsi="Times New Roman"/>
            <w:b w:val="false"/>
            <w:i w:val="false"/>
            <w:color w:val="000000"/>
            <w:sz w:val="22"/>
          </w:rPr>
          <w:t>subrule 120.6(1)</w:t>
        </w:r>
      </w:hyperlink>
      <w:r>
        <w:rPr>
          <w:rFonts w:ascii="Times New Roman" w:hAnsi="Times New Roman"/>
          <w:b w:val="false"/>
          <w:i w:val="false"/>
          <w:color w:val="000000"/>
          <w:sz w:val="22"/>
        </w:rPr>
        <w:t>, however, shall be reported within 60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All landfarm applicators shall maintain records of all information related to compliance with this chapter and the permit throughout the life of the landfarm and for three years after landfarm closure pursuant to </w:t>
      </w:r>
      <w:hyperlink r:id="rId50">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 This information shall be available to the department upon request. Applicable information includes, but is not limited to, the following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 information pursuant to </w:t>
      </w:r>
      <w:hyperlink r:id="rId51">
        <w:r>
          <w:rPr>
            <w:rStyle w:val="Hyperlink"/>
            <w:rFonts w:ascii="Times New Roman" w:hAnsi="Times New Roman"/>
            <w:b w:val="false"/>
            <w:i w:val="false"/>
            <w:color w:val="000000"/>
            <w:sz w:val="22"/>
          </w:rPr>
          <w:t>rule 567—120.5(455B)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PCS analysis and characterization pursuant to </w:t>
      </w:r>
      <w:hyperlink r:id="rId52">
        <w:r>
          <w:rPr>
            <w:rStyle w:val="Hyperlink"/>
            <w:rFonts w:ascii="Times New Roman" w:hAnsi="Times New Roman"/>
            <w:b w:val="false"/>
            <w:i w:val="false"/>
            <w:color w:val="000000"/>
            <w:sz w:val="22"/>
          </w:rPr>
          <w:t>rule 567—120.6(455B)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Site suitability information pursuant to </w:t>
      </w:r>
      <w:hyperlink r:id="rId53">
        <w:r>
          <w:rPr>
            <w:rStyle w:val="Hyperlink"/>
            <w:rFonts w:ascii="Times New Roman" w:hAnsi="Times New Roman"/>
            <w:b w:val="false"/>
            <w:i w:val="false"/>
            <w:color w:val="000000"/>
            <w:sz w:val="22"/>
          </w:rPr>
          <w:t>rule 567—120.7(455B)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design requirements pursuant to </w:t>
      </w:r>
      <w:hyperlink r:id="rId54">
        <w:r>
          <w:rPr>
            <w:rStyle w:val="Hyperlink"/>
            <w:rFonts w:ascii="Times New Roman" w:hAnsi="Times New Roman"/>
            <w:b w:val="false"/>
            <w:i w:val="false"/>
            <w:color w:val="000000"/>
            <w:sz w:val="22"/>
          </w:rPr>
          <w:t>rule 567—120.8(455B)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Operations information pursuant to </w:t>
      </w:r>
      <w:hyperlink r:id="rId55">
        <w:r>
          <w:rPr>
            <w:rStyle w:val="Hyperlink"/>
            <w:rFonts w:ascii="Times New Roman" w:hAnsi="Times New Roman"/>
            <w:b w:val="false"/>
            <w:i w:val="false"/>
            <w:color w:val="000000"/>
            <w:sz w:val="22"/>
          </w:rPr>
          <w:t>rule 567—120.9(455B)</w:t>
        </w:r>
      </w:hyperlink>
      <w:r>
        <w:rPr>
          <w:rFonts w:ascii="Times New Roman" w:hAnsi="Times New Roman"/>
          <w:b w:val="false"/>
          <w:i w:val="false"/>
          <w:color w:val="000000"/>
          <w:sz w:val="22"/>
        </w:rPr>
        <w:t xml:space="preserve">; in particular, application rate calculations pursuant to </w:t>
      </w:r>
      <w:hyperlink r:id="rId56">
        <w:r>
          <w:rPr>
            <w:rStyle w:val="Hyperlink"/>
            <w:rFonts w:ascii="Times New Roman" w:hAnsi="Times New Roman"/>
            <w:b w:val="false"/>
            <w:i w:val="false"/>
            <w:color w:val="000000"/>
            <w:sz w:val="22"/>
          </w:rPr>
          <w:t>120.9(6)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ERRAP documents pursuant to </w:t>
      </w:r>
      <w:hyperlink r:id="rId57">
        <w:r>
          <w:rPr>
            <w:rStyle w:val="Hyperlink"/>
            <w:rFonts w:ascii="Times New Roman" w:hAnsi="Times New Roman"/>
            <w:b w:val="false"/>
            <w:i w:val="false"/>
            <w:color w:val="000000"/>
            <w:sz w:val="22"/>
          </w:rPr>
          <w:t>rule 567—120.10(455B)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submitted pursuant to </w:t>
      </w:r>
      <w:hyperlink r:id="rId58">
        <w:r>
          <w:rPr>
            <w:rStyle w:val="Hyperlink"/>
            <w:rFonts w:ascii="Times New Roman" w:hAnsi="Times New Roman"/>
            <w:b w:val="false"/>
            <w:i w:val="false"/>
            <w:color w:val="000000"/>
            <w:sz w:val="22"/>
          </w:rPr>
          <w:t>subrule 120.11(1)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information pursuant to </w:t>
      </w:r>
      <w:hyperlink r:id="rId59">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567—120.12</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closure. </w:t>
      </w:r>
      <w:r>
        <w:rPr>
          <w:rFonts w:ascii="Times New Roman" w:hAnsi="Times New Roman"/>
          <w:b w:val="false"/>
          <w:i w:val="false"/>
          <w:color w:val="000000"/>
          <w:sz w:val="22"/>
        </w:rPr>
        <w:t>Unless otherwise required or approved by the department, landfarms shall be closed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120.12(1)</w:t>
      </w:r>
      <w:r>
        <w:rPr>
          <w:rFonts w:ascii="Times New Roman" w:hAnsi="Times New Roman"/>
          <w:b w:val="false"/>
          <w:i w:val="false"/>
          <w:color w:val="000000"/>
          <w:sz w:val="22"/>
        </w:rPr>
        <w:t> </w:t>
      </w:r>
      <w:r>
        <w:rPr>
          <w:rFonts w:ascii="Times New Roman" w:hAnsi="Times New Roman"/>
          <w:b w:val="false"/>
          <w:i w:val="false"/>
          <w:color w:val="000000"/>
          <w:sz w:val="22"/>
        </w:rPr>
        <w:t>Three years after the application of PCS,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120.12(2)</w:t>
      </w:r>
      <w:r>
        <w:rPr>
          <w:rFonts w:ascii="Times New Roman" w:hAnsi="Times New Roman"/>
          <w:b w:val="false"/>
          <w:i w:val="false"/>
          <w:color w:val="000000"/>
          <w:sz w:val="22"/>
        </w:rPr>
        <w:t> </w:t>
      </w:r>
      <w:r>
        <w:rPr>
          <w:rFonts w:ascii="Times New Roman" w:hAnsi="Times New Roman"/>
          <w:b w:val="false"/>
          <w:i w:val="false"/>
          <w:color w:val="000000"/>
          <w:sz w:val="22"/>
        </w:rPr>
        <w:t>At least six months after the application of PCS when documentation has been submitted and acknowledged in writing by the department that each landfarm plot has been tested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sample from each 10,000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(e.g., 100-foot × 100-foot area) of landfarm plot is analyzed pursuant to subparagraphs </w:t>
      </w:r>
      <w:hyperlink r:id="rId60">
        <w:r>
          <w:rPr>
            <w:rStyle w:val="Hyperlink"/>
            <w:rFonts w:ascii="Times New Roman" w:hAnsi="Times New Roman"/>
            <w:b w:val="false"/>
            <w:i w:val="false"/>
            <w:color w:val="000000"/>
            <w:sz w:val="22"/>
          </w:rPr>
          <w:t>120.6(2)</w:t>
        </w:r>
      </w:hyperlink>
      <w:r>
        <w:rPr>
          <w:rFonts w:ascii="Times New Roman" w:hAnsi="Times New Roman"/>
          <w:b w:val="false"/>
          <w:i/>
          <w:color w:val="000000"/>
          <w:sz w:val="22"/>
        </w:rPr>
        <w:t>“c”</w:t>
      </w:r>
      <w:r>
        <w:rPr>
          <w:rFonts w:ascii="Times New Roman" w:hAnsi="Times New Roman"/>
          <w:b w:val="false"/>
          <w:i w:val="false"/>
          <w:color w:val="000000"/>
          <w:sz w:val="22"/>
        </w:rPr>
        <w:t>(1), (2), and (3). A minimum of one sample per landfarm plot shall be obtained. All samples shall be obtained from between the top 2 to 6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tests in paragraph </w:t>
      </w:r>
      <w:hyperlink r:id="rId61">
        <w:r>
          <w:rPr>
            <w:rStyle w:val="Hyperlink"/>
            <w:rFonts w:ascii="Times New Roman" w:hAnsi="Times New Roman"/>
            <w:b w:val="false"/>
            <w:i w:val="false"/>
            <w:color w:val="000000"/>
            <w:sz w:val="22"/>
          </w:rPr>
          <w:t>120.12(2)</w:t>
        </w:r>
      </w:hyperlink>
      <w:r>
        <w:rPr>
          <w:rFonts w:ascii="Times New Roman" w:hAnsi="Times New Roman"/>
          <w:b w:val="false"/>
          <w:i/>
          <w:color w:val="000000"/>
          <w:sz w:val="22"/>
        </w:rPr>
        <w:t>“a”</w:t>
      </w:r>
      <w:r>
        <w:rPr>
          <w:rFonts w:ascii="Times New Roman" w:hAnsi="Times New Roman"/>
          <w:b w:val="false"/>
          <w:i w:val="false"/>
          <w:color w:val="000000"/>
          <w:sz w:val="22"/>
        </w:rPr>
        <w:t xml:space="preserve"> demonstrate that petroleum constituent concentrations are less than 0.54 mg/kg for benzene, 42 mg/kg for toluene, 15 mg/kg for ethylbenzene, 3800 mg/kg for TEH-diesel and 0.02 mg/kg for MTBE.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567—120.13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Financial assurance requirements for landfarms. </w:t>
      </w:r>
      <w:r>
        <w:rPr>
          <w:rFonts w:ascii="Times New Roman" w:hAnsi="Times New Roman"/>
          <w:b w:val="false"/>
          <w:i w:val="false"/>
          <w:color w:val="000000"/>
          <w:sz w:val="22"/>
        </w:rPr>
        <w:t xml:space="preserve">The holder of a sanitary disposal project permit for a landfarm must obtain and submit a financial assurance instrument to the department in accordance with this rule. The financial assurance instrument shall provide monetary funds for the purpose of conducting closure activities at the landfarm plot(s) due to the permit holder’s failure to properly close the site as required in accordance with </w:t>
      </w:r>
      <w:hyperlink r:id="rId62">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 xml:space="preserv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of a landfarm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at the time of application for a permit for a landfarm applicator permit.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 xml:space="preserve">The estimate submitted to the department must be certified by a professional engineer and account for at least the following factors determined by the department to be minimal necessary costs for closure pursuant to </w:t>
      </w:r>
      <w:hyperlink r:id="rId63">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costs to conduct soil sampling and properly clean all equipment and storage areas at the landfarm plot(s).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PCS is temporarily stored on site prior to incorporation, then this estimate shall include third-party labor and transportation costs and total tip fees to properly dispose of all PCS equal to the maximum storage capacity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120.13(4)</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64">
        <w:r>
          <w:rPr>
            <w:rStyle w:val="Hyperlink"/>
            <w:rFonts w:ascii="Times New Roman" w:hAnsi="Times New Roman"/>
            <w:b w:val="false"/>
            <w:i w:val="false"/>
            <w:color w:val="000000"/>
            <w:sz w:val="22"/>
          </w:rPr>
          <w:t>subrule 120.13(3)</w:t>
        </w:r>
      </w:hyperlink>
      <w:r>
        <w:rPr>
          <w:rFonts w:ascii="Times New Roman" w:hAnsi="Times New Roman"/>
          <w:b w:val="false"/>
          <w:i w:val="false"/>
          <w:color w:val="000000"/>
          <w:sz w:val="22"/>
        </w:rPr>
        <w:t xml:space="preserve"> and shall not be canceled, revoked, disbursed, released, or allowed to terminate without the approval of the department. Financial assurance may be provided by cash in the form of a secured trust fund or local government dedicated fund, surety bond, letter of credit, or corporate or local government guarantee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Secured trust fund. </w:t>
      </w:r>
      <w:r>
        <w:rPr>
          <w:rFonts w:ascii="Times New Roman" w:hAnsi="Times New Roman"/>
          <w:b w:val="false"/>
          <w:i w:val="false"/>
          <w:color w:val="000000"/>
          <w:sz w:val="22"/>
        </w:rPr>
        <w:t>The owner or operator of a landfarm or entity serving as a guarantor may demonstrate financial assurance for closure by establishing a secured trust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trustee must be an entity which has the authority to act as a trustee and whose trust operations are regulated and examined by a federal or state agency. The fund shall be restricted for the sole purpose of funding closure activities at the landfarm sites, and a copy of the trust agreement must be submitted to the department and placed in the permit holder’s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secured trust fund shall name the department of natural resources as the entity authorized to draw funds from the trust, subject to proper notification to the trust officer of failure by the permittee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assigned for the benefit of creditors with the exception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activities may request reimbursement from the trustee for closure expenditures as they are incurred. Requests for reimbursement shall be granted by the trustee only if sufficient funds are remaining in the trust fund to cover the remaining costs of closure and if documentation of the justification for reimbursement has been submitted to the department for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balance of the trust fund exceeds the current cost estimate for closure at any time, the owner or operator may request withdrawal of the excess funds from the trustee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The owner or operator of a publicly owned entity permitted to landfarm PCS or a local government serving as a guarantor may demonstrate financial assurance for closure by establishing a dedicated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resolution or order as a restricted fund to pay for closure costs arising from the operation of the landfarm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establishing the dedicated fund must be submitted to the department and placed in the permit holder’s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balance of the dedicated fund exceeds the current cost estimate for closure at any time, the owner or operator may withdraw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surety bond must be written by a company authorized by the commissioner of insurance to do business in the state. The surety bond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a form approved by the commissioner of insurance and shall be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shall be specific to a particular landfarm owner or operator for the purpose of funding closure in accordance with </w:t>
      </w:r>
      <w:hyperlink r:id="rId65">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 xml:space="preserve"> and removing any stockpiled PCS that may remain at the site(s)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a statement from the surety with each permit application renewal, noting that the bond is paid and current for the permit period for which the owner or operator has applied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submit to the department a copy of the letter of credit and place a copy in the permit holder’s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permit holder and the amount of funds assured, must be included with the letter of credit submitted to the department and placed in the permit holder’s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90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a secured trust fund that meets the requirements of paragraph </w:t>
      </w:r>
      <w:hyperlink r:id="rId66">
        <w:r>
          <w:rPr>
            <w:rStyle w:val="Hyperlink"/>
            <w:rFonts w:ascii="Times New Roman" w:hAnsi="Times New Roman"/>
            <w:b w:val="false"/>
            <w:i w:val="false"/>
            <w:color w:val="000000"/>
            <w:sz w:val="22"/>
          </w:rPr>
          <w:t>120.13(4)</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subrule within the 60-day time period, the issuer of the letter of credit shall deposit a sum equal to the amount of the letter of credit into the secured trust fund established by the owner or operator.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may meet the requirements of this rule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landfarm site(s)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67">
        <w:r>
          <w:rPr>
            <w:rStyle w:val="Hyperlink"/>
            <w:rFonts w:ascii="Times New Roman" w:hAnsi="Times New Roman"/>
            <w:b w:val="false"/>
            <w:i w:val="false"/>
            <w:color w:val="000000"/>
            <w:sz w:val="22"/>
          </w:rPr>
          <w:t>120.13(4)</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three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ratio of less than 1.5 comparing total liabilities to net worth;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tangible net worth of the guarantor must be greater than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guarantor must have assets amounting to at least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guarantor must submit the following records to the department and place a copy in the permit holder’s official files: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guarantor.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guarantee including, but not limited to, cost estimates required by </w:t>
      </w:r>
      <w:hyperlink r:id="rId68">
        <w:r>
          <w:rPr>
            <w:rStyle w:val="Hyperlink"/>
            <w:rFonts w:ascii="Times New Roman" w:hAnsi="Times New Roman"/>
            <w:b w:val="false"/>
            <w:i w:val="false"/>
            <w:color w:val="000000"/>
            <w:sz w:val="22"/>
          </w:rPr>
          <w:t>subrule 120.13(3)</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guarantor meets the conditions of subparagraphs </w:t>
      </w:r>
      <w:hyperlink r:id="rId69">
        <w:r>
          <w:rPr>
            <w:rStyle w:val="Hyperlink"/>
            <w:rFonts w:ascii="Times New Roman" w:hAnsi="Times New Roman"/>
            <w:b w:val="false"/>
            <w:i w:val="false"/>
            <w:color w:val="000000"/>
            <w:sz w:val="22"/>
          </w:rPr>
          <w:t>120.13(4)</w:t>
        </w:r>
      </w:hyperlink>
      <w:r>
        <w:rPr>
          <w:rFonts w:ascii="Times New Roman" w:hAnsi="Times New Roman"/>
          <w:b w:val="false"/>
          <w:i/>
          <w:color w:val="000000"/>
          <w:sz w:val="22"/>
        </w:rPr>
        <w:t>“e”</w:t>
      </w:r>
      <w:r>
        <w:rPr>
          <w:rFonts w:ascii="Times New Roman" w:hAnsi="Times New Roman"/>
          <w:b w:val="false"/>
          <w:i w:val="false"/>
          <w:color w:val="000000"/>
          <w:sz w:val="22"/>
        </w:rPr>
        <w:t>(2), (3) and (4).</w:t>
      </w:r>
    </w:p>
    <w:p>
      <w:pPr>
        <w:spacing w:before="0" w:after="0"/>
        <w:ind w:left="120"/>
        <w:jc w:val="both"/>
      </w:pPr>
      <w:r>
        <w:rPr>
          <w:rFonts w:ascii="Times New Roman" w:hAnsi="Times New Roman"/>
          <w:b w:val="false"/>
          <w:i w:val="false"/>
          <w:color w:val="000000"/>
          <w:sz w:val="22"/>
        </w:rPr>
        <w:t>3. A copy of the independent certified public accountant’s unqualified opinion of the guarantor’s financial statements for the latest completed fiscal year. In order for the guarantor to be eligible to use the guarantee, the guarantor’s financial statements must receive an unqualified opinion from the independent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guarantee,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by obtaining a written guarantee provided by a local government or jointly provided by the members of an agency established pursuant to Iowa Code chapter </w:t>
      </w:r>
      <w:hyperlink r:id="rId70">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landfarm site(s)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71">
        <w:r>
          <w:rPr>
            <w:rStyle w:val="Hyperlink"/>
            <w:rFonts w:ascii="Times New Roman" w:hAnsi="Times New Roman"/>
            <w:b w:val="false"/>
            <w:i w:val="false"/>
            <w:color w:val="000000"/>
            <w:sz w:val="22"/>
          </w:rPr>
          <w:t>120.13(4)</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guarantor has outstanding, rated, general obligation bonds that are not secured by insurance, a letter of credit, or other collateral or guarantee, the guarantor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must satisfy each of the following financial ratios based on the guarantor’s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guarantor must prepare its financial statements in conformity with generally accepted accounting principles or other comprehensive basis of accounting and must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guarantor is not eligible to assure its obligations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guarantor is currently in default on any outstanding general obligation bonds;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guarantor 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guarantor receives an adverse opinion or disclaimer of opinion from the independent certified public accountant or office of the auditor of the state of Iowa auditing its financial statement. A qualified opinion that is related to the demonstration of financial assurance may, at the discretion of the department, be cause for disallowance of this mechanism;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closure costs to be assured are greater than 43 percent of the guarantor’s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local government guarantor must include disclosure of the closure costs assured through the guarantee in its next annual audit report prior to the initial application of PCS at the landfarm site(s) or prior to cancellation of an alternative financial assurance instrument, whichever is later. For the first year the guarantee is used to assure costs at a particular site(s), the reference may instead be placed in the guarantor’s official files until issuance of the next available annual audit report if timing does not permit the reference to be incorporated into the most recently issued annual audit report or budget. For 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local government serving as guarantor for the closure costs at the landfarm site(s).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the guarantor’s most recent annual financial audit report indicating compliance with the financial ratios required by numbered paragraph </w:t>
      </w:r>
      <w:hyperlink r:id="rId72">
        <w:r>
          <w:rPr>
            <w:rStyle w:val="Hyperlink"/>
            <w:rFonts w:ascii="Times New Roman" w:hAnsi="Times New Roman"/>
            <w:b w:val="false"/>
            <w:i w:val="false"/>
            <w:color w:val="000000"/>
            <w:sz w:val="22"/>
          </w:rPr>
          <w:t>120.13(4)</w:t>
        </w:r>
      </w:hyperlink>
      <w:r>
        <w:rPr>
          <w:rFonts w:ascii="Times New Roman" w:hAnsi="Times New Roman"/>
          <w:b w:val="false"/>
          <w:i/>
          <w:color w:val="000000"/>
          <w:sz w:val="22"/>
        </w:rPr>
        <w:t>“f”</w:t>
      </w:r>
      <w:r>
        <w:rPr>
          <w:rFonts w:ascii="Times New Roman" w:hAnsi="Times New Roman"/>
          <w:b w:val="false"/>
          <w:i w:val="false"/>
          <w:color w:val="000000"/>
          <w:sz w:val="22"/>
        </w:rPr>
        <w:t xml:space="preserve">(2)“2,” if applicable, and the requirements of subparagraphs </w:t>
      </w:r>
      <w:hyperlink r:id="rId73">
        <w:r>
          <w:rPr>
            <w:rStyle w:val="Hyperlink"/>
            <w:rFonts w:ascii="Times New Roman" w:hAnsi="Times New Roman"/>
            <w:b w:val="false"/>
            <w:i w:val="false"/>
            <w:color w:val="000000"/>
            <w:sz w:val="22"/>
          </w:rPr>
          <w:t>120.13(4)</w:t>
        </w:r>
      </w:hyperlink>
      <w:r>
        <w:rPr>
          <w:rFonts w:ascii="Times New Roman" w:hAnsi="Times New Roman"/>
          <w:b w:val="false"/>
          <w:i/>
          <w:color w:val="000000"/>
          <w:sz w:val="22"/>
        </w:rPr>
        <w:t>“f”</w:t>
      </w:r>
      <w:r>
        <w:rPr>
          <w:rFonts w:ascii="Times New Roman" w:hAnsi="Times New Roman"/>
          <w:b w:val="false"/>
          <w:i w:val="false"/>
          <w:color w:val="000000"/>
          <w:sz w:val="22"/>
        </w:rPr>
        <w:t>(3) and (4).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letter signed by the local government’s chief financial officer that lists all the current cost estimates covered by the guarantor, as described in </w:t>
      </w:r>
      <w:hyperlink r:id="rId74">
        <w:r>
          <w:rPr>
            <w:rStyle w:val="Hyperlink"/>
            <w:rFonts w:ascii="Times New Roman" w:hAnsi="Times New Roman"/>
            <w:b w:val="false"/>
            <w:i w:val="false"/>
            <w:color w:val="000000"/>
            <w:sz w:val="22"/>
          </w:rPr>
          <w:t>subrule 120.13(3)</w:t>
        </w:r>
      </w:hyperlink>
      <w:r>
        <w:rPr>
          <w:rFonts w:ascii="Times New Roman" w:hAnsi="Times New Roman"/>
          <w:b w:val="false"/>
          <w:i w:val="false"/>
          <w:color w:val="000000"/>
          <w:sz w:val="22"/>
        </w:rPr>
        <w:t xml:space="preserve">; and that provides evidence and certifies that the local government meets the conditions of subparagraphs </w:t>
      </w:r>
      <w:hyperlink r:id="rId75">
        <w:r>
          <w:rPr>
            <w:rStyle w:val="Hyperlink"/>
            <w:rFonts w:ascii="Times New Roman" w:hAnsi="Times New Roman"/>
            <w:b w:val="false"/>
            <w:i w:val="false"/>
            <w:color w:val="000000"/>
            <w:sz w:val="22"/>
          </w:rPr>
          <w:t>120.13(4)</w:t>
        </w:r>
      </w:hyperlink>
      <w:r>
        <w:rPr>
          <w:rFonts w:ascii="Times New Roman" w:hAnsi="Times New Roman"/>
          <w:b w:val="false"/>
          <w:i/>
          <w:color w:val="000000"/>
          <w:sz w:val="22"/>
        </w:rPr>
        <w:t>“f”</w:t>
      </w:r>
      <w:r>
        <w:rPr>
          <w:rFonts w:ascii="Times New Roman" w:hAnsi="Times New Roman"/>
          <w:b w:val="false"/>
          <w:i w:val="false"/>
          <w:color w:val="000000"/>
          <w:sz w:val="22"/>
        </w:rPr>
        <w:t>(2), (3), (4) and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120.13(5)</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may be terminated by the owner or operator only if the owner or operator substitutes alternate financial assurance prior to cancellation,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operator, and financial assurance provider that the covered site has been properly closed. The financial assurance provider shall give at least 90 days’ notice in writing to the owner or operator and the department in the event of any intent to cancel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a written notice of cancellation of financial assurance by the financial assurance provider, the owner or operator must provide the department an alternative financial assurance instrument. If a means of continued financial assurance is not provided within that 60 days,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perform proper closure within 30 days of the permit suspension. For the purpose of this rule, “proper closure” means completion of all items pursuant to </w:t>
      </w:r>
      <w:hyperlink r:id="rId76">
        <w:r>
          <w:rPr>
            <w:rStyle w:val="Hyperlink"/>
            <w:rFonts w:ascii="Times New Roman" w:hAnsi="Times New Roman"/>
            <w:b w:val="false"/>
            <w:i w:val="false"/>
            <w:color w:val="000000"/>
            <w:sz w:val="22"/>
          </w:rPr>
          <w:t>rule 567—120.12(455B)</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subrule 120.13(3)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the department shall file a claim with the financial assurance instrument provider to collect the amount of funds necessary to properly close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60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also request payment from any financial assurance provider for the purpose of completing closure when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is more than 15 days late in providing a schedule for closure or for meeting any date in the schedule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declares an economic inability to comply with this rule, either by sending written notification to the director or through an action such as, but not limited to, filing for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8">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455B.383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8/27/04, Notice 6/9/04—published 9/15/04, effective 10/20/04]</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6982C</w:t>
      </w:r>
      <w:r>
        <w:rPr>
          <w:rFonts w:ascii="Times New Roman" w:hAnsi="Times New Roman"/>
          <w:b w:val="false"/>
          <w:i w:val="false"/>
          <w:color w:val="000000"/>
          <w:sz w:val="21"/>
        </w:rPr>
        <w:t xml:space="preserve"> (Notice ARC 6755C, IAB 12/14/22)</w:t>
      </w:r>
      <w:r>
        <w:rPr>
          <w:rFonts w:ascii="Times New Roman" w:hAnsi="Times New Roman"/>
          <w:b w:val="false"/>
          <w:i w:val="false"/>
          <w:color w:val="000000"/>
          <w:sz w:val="21"/>
        </w:rPr>
        <w:t>, IAB 4/19/23, effective 5/24/23]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1A.pdf" Type="http://schemas.openxmlformats.org/officeDocument/2006/relationships/hyperlink" Id="rId5"/>
    <Relationship TargetMode="External" Target="https://www.legis.iowa.gov/docs/ico/chapter/455B.304.pdf" Type="http://schemas.openxmlformats.org/officeDocument/2006/relationships/hyperlink" Id="rId6"/>
    <Relationship TargetMode="External" Target="https://www.legis.iowa.gov/docs/ico/chapter/455B.383.pdf" Type="http://schemas.openxmlformats.org/officeDocument/2006/relationships/hyperlink" Id="rId7"/>
    <Relationship TargetMode="External" Target="https://www.legis.iowa.gov/docs/iac/chapter/567.109.pdf" Type="http://schemas.openxmlformats.org/officeDocument/2006/relationships/hyperlink" Id="rId8"/>
    <Relationship TargetMode="External" Target="https://www.legis.iowa.gov/docs/ico/chapter/455B.301.pdf" Type="http://schemas.openxmlformats.org/officeDocument/2006/relationships/hyperlink" Id="rId9"/>
    <Relationship TargetMode="External" Target="https://www.legis.iowa.gov/docs/iac/chapter/567.100.pdf" Type="http://schemas.openxmlformats.org/officeDocument/2006/relationships/hyperlink" Id="rId10"/>
    <Relationship TargetMode="External" Target="https://www.legis.iowa.gov/docs/iac/rule/567.120.12.pdf" Type="http://schemas.openxmlformats.org/officeDocument/2006/relationships/hyperlink" Id="rId11"/>
    <Relationship TargetMode="External" Target="https://www.legis.iowa.gov/docs/ico/chapter/455B.pdf" Type="http://schemas.openxmlformats.org/officeDocument/2006/relationships/hyperlink" Id="rId12"/>
    <Relationship TargetMode="External" Target="https://www.legis.iowa.gov/docs/ico/chapter/455B.pdf" Type="http://schemas.openxmlformats.org/officeDocument/2006/relationships/hyperlink" Id="rId13"/>
    <Relationship TargetMode="External" Target="https://www.legis.iowa.gov/docs/iac/rule/567.120.9.pdf" Type="http://schemas.openxmlformats.org/officeDocument/2006/relationships/hyperlink" Id="rId14"/>
    <Relationship TargetMode="External" Target="https://www.legis.iowa.gov/docs/iac/rule/567.120.11.pdf" Type="http://schemas.openxmlformats.org/officeDocument/2006/relationships/hyperlink" Id="rId15"/>
    <Relationship TargetMode="External" Target="https://www.legis.iowa.gov/docs/iac/rule/567.120.10.pdf" Type="http://schemas.openxmlformats.org/officeDocument/2006/relationships/hyperlink" Id="rId16"/>
    <Relationship TargetMode="External" Target="https://www.legis.iowa.gov/docs/iac/chapter/567.120.pdf" Type="http://schemas.openxmlformats.org/officeDocument/2006/relationships/hyperlink" Id="rId17"/>
    <Relationship TargetMode="External" Target="https://www.legis.iowa.gov/docs/iac/rule/567.120.9.pdf" Type="http://schemas.openxmlformats.org/officeDocument/2006/relationships/hyperlink" Id="rId18"/>
    <Relationship TargetMode="External" Target="https://www.legis.iowa.gov/docs/iac/rule/567.120.11.pdf" Type="http://schemas.openxmlformats.org/officeDocument/2006/relationships/hyperlink" Id="rId19"/>
    <Relationship TargetMode="External" Target="https://www.legis.iowa.gov/docs/iac/rule/567.120.6.pdf" Type="http://schemas.openxmlformats.org/officeDocument/2006/relationships/hyperlink" Id="rId20"/>
    <Relationship TargetMode="External" Target="https://www.legis.iowa.gov/docs/iac/rule/567.120.6.pdf" Type="http://schemas.openxmlformats.org/officeDocument/2006/relationships/hyperlink" Id="rId21"/>
    <Relationship TargetMode="External" Target="https://www.legis.iowa.gov/docs/iac/chapter/567.135.pdf" Type="http://schemas.openxmlformats.org/officeDocument/2006/relationships/hyperlink" Id="rId22"/>
    <Relationship TargetMode="External" Target="https://www.legis.iowa.gov/docs/iac/chapter/567.83.pdf" Type="http://schemas.openxmlformats.org/officeDocument/2006/relationships/hyperlink" Id="rId23"/>
    <Relationship TargetMode="External" Target="https://www.legis.iowa.gov/docs/iac/chapter/567.83.pdf" Type="http://schemas.openxmlformats.org/officeDocument/2006/relationships/hyperlink" Id="rId24"/>
    <Relationship TargetMode="External" Target="https://www.legis.iowa.gov/docs/iac/rule/567.135.15.pdf" Type="http://schemas.openxmlformats.org/officeDocument/2006/relationships/hyperlink" Id="rId25"/>
    <Relationship TargetMode="External" Target="https://www.legis.iowa.gov/docs/iac/chapter/567.83.pdf" Type="http://schemas.openxmlformats.org/officeDocument/2006/relationships/hyperlink" Id="rId26"/>
    <Relationship TargetMode="External" Target="https://www.legis.iowa.gov/docs/iac/chapter/567.109.pdf" Type="http://schemas.openxmlformats.org/officeDocument/2006/relationships/hyperlink" Id="rId27"/>
    <Relationship TargetMode="External" Target="https://www.legis.iowa.gov/docs/iac/rule/567.120.12.pdf" Type="http://schemas.openxmlformats.org/officeDocument/2006/relationships/hyperlink" Id="rId28"/>
    <Relationship TargetMode="External" Target="https://www.legis.iowa.gov/docs/iac/rule/567.120.9.pdf" Type="http://schemas.openxmlformats.org/officeDocument/2006/relationships/hyperlink" Id="rId29"/>
    <Relationship TargetMode="External" Target="https://www.legis.iowa.gov/docs/iac/rule/567.120.4.pdf" Type="http://schemas.openxmlformats.org/officeDocument/2006/relationships/hyperlink" Id="rId30"/>
    <Relationship TargetMode="External" Target="https://www.legis.iowa.gov/docs/iac/rule/567.120.9.pdf" Type="http://schemas.openxmlformats.org/officeDocument/2006/relationships/hyperlink" Id="rId31"/>
    <Relationship TargetMode="External" Target="https://www.legis.iowa.gov/docs/iac/rule/567.120.6.pdf" Type="http://schemas.openxmlformats.org/officeDocument/2006/relationships/hyperlink" Id="rId32"/>
    <Relationship TargetMode="External" Target="https://www.legis.iowa.gov/docs/iac/rule/567.120.6.pdf" Type="http://schemas.openxmlformats.org/officeDocument/2006/relationships/hyperlink" Id="rId33"/>
    <Relationship TargetMode="External" Target="https://www.legis.iowa.gov/docs/iac/rule/567.120.12.pdf" Type="http://schemas.openxmlformats.org/officeDocument/2006/relationships/hyperlink" Id="rId34"/>
    <Relationship TargetMode="External" Target="https://www.legis.iowa.gov/docs/iac/rule/567.120.6.pdf" Type="http://schemas.openxmlformats.org/officeDocument/2006/relationships/hyperlink" Id="rId35"/>
    <Relationship TargetMode="External" Target="https://www.legis.iowa.gov/docs/iac/rule/567.120.6.pdf" Type="http://schemas.openxmlformats.org/officeDocument/2006/relationships/hyperlink" Id="rId36"/>
    <Relationship TargetMode="External" Target="https://www.legis.iowa.gov/docs/iac/chapter/567.137.pdf" Type="http://schemas.openxmlformats.org/officeDocument/2006/relationships/hyperlink" Id="rId37"/>
    <Relationship TargetMode="External" Target="https://www.legis.iowa.gov/docs/iac/rule/567.120.12.pdf" Type="http://schemas.openxmlformats.org/officeDocument/2006/relationships/hyperlink" Id="rId38"/>
    <Relationship TargetMode="External" Target="https://www.legis.iowa.gov/docs/iac/rule/567.120.9.pdf" Type="http://schemas.openxmlformats.org/officeDocument/2006/relationships/hyperlink" Id="rId39"/>
    <Relationship TargetMode="External" Target="https://www.legis.iowa.gov/docs/iac/rule/567.120.9.pdf" Type="http://schemas.openxmlformats.org/officeDocument/2006/relationships/hyperlink" Id="rId40"/>
    <Relationship TargetMode="External" Target="https://www.legis.iowa.gov/docs/iac/rule/567.120.12.pdf" Type="http://schemas.openxmlformats.org/officeDocument/2006/relationships/hyperlink" Id="rId41"/>
    <Relationship TargetMode="External" Target="https://www.legis.iowa.gov/docs/iac/rule/567.120.6.pdf" Type="http://schemas.openxmlformats.org/officeDocument/2006/relationships/hyperlink" Id="rId42"/>
    <Relationship TargetMode="External" Target="https://www.legis.iowa.gov/docs/iac/rule/567.120.12.pdf" Type="http://schemas.openxmlformats.org/officeDocument/2006/relationships/hyperlink" Id="rId43"/>
    <Relationship TargetMode="External" Target="https://www.legis.iowa.gov/docs/iac/chapter/567.135.pdf" Type="http://schemas.openxmlformats.org/officeDocument/2006/relationships/hyperlink" Id="rId44"/>
    <Relationship TargetMode="External" Target="https://www.legis.iowa.gov/docs/iac/rule/567.120.6.pdf" Type="http://schemas.openxmlformats.org/officeDocument/2006/relationships/hyperlink" Id="rId45"/>
    <Relationship TargetMode="External" Target="https://www.legis.iowa.gov/docs/iac/rule/567.120.6.pdf" Type="http://schemas.openxmlformats.org/officeDocument/2006/relationships/hyperlink" Id="rId46"/>
    <Relationship TargetMode="External" Target="https://www.legis.iowa.gov/docs/iac/rule/567.120.9.pdf" Type="http://schemas.openxmlformats.org/officeDocument/2006/relationships/hyperlink" Id="rId47"/>
    <Relationship TargetMode="External" Target="https://www.legis.iowa.gov/docs/iac/rule/567.120.6.pdf" Type="http://schemas.openxmlformats.org/officeDocument/2006/relationships/hyperlink" Id="rId48"/>
    <Relationship TargetMode="External" Target="https://www.legis.iowa.gov/docs/iac/rule/567.120.6.pdf" Type="http://schemas.openxmlformats.org/officeDocument/2006/relationships/hyperlink" Id="rId49"/>
    <Relationship TargetMode="External" Target="https://www.legis.iowa.gov/docs/iac/rule/567.120.12.pdf" Type="http://schemas.openxmlformats.org/officeDocument/2006/relationships/hyperlink" Id="rId50"/>
    <Relationship TargetMode="External" Target="https://www.legis.iowa.gov/docs/iac/rule/567.120.5.pdf" Type="http://schemas.openxmlformats.org/officeDocument/2006/relationships/hyperlink" Id="rId51"/>
    <Relationship TargetMode="External" Target="https://www.legis.iowa.gov/docs/iac/rule/567.120.6.pdf" Type="http://schemas.openxmlformats.org/officeDocument/2006/relationships/hyperlink" Id="rId52"/>
    <Relationship TargetMode="External" Target="https://www.legis.iowa.gov/docs/iac/rule/567.120.7.pdf" Type="http://schemas.openxmlformats.org/officeDocument/2006/relationships/hyperlink" Id="rId53"/>
    <Relationship TargetMode="External" Target="https://www.legis.iowa.gov/docs/iac/rule/567.120.8.pdf" Type="http://schemas.openxmlformats.org/officeDocument/2006/relationships/hyperlink" Id="rId54"/>
    <Relationship TargetMode="External" Target="https://www.legis.iowa.gov/docs/iac/rule/567.120.9.pdf" Type="http://schemas.openxmlformats.org/officeDocument/2006/relationships/hyperlink" Id="rId55"/>
    <Relationship TargetMode="External" Target="https://www.legis.iowa.gov/docs/iac/rule/567.120.9.pdf" Type="http://schemas.openxmlformats.org/officeDocument/2006/relationships/hyperlink" Id="rId56"/>
    <Relationship TargetMode="External" Target="https://www.legis.iowa.gov/docs/iac/rule/567.120.10.pdf" Type="http://schemas.openxmlformats.org/officeDocument/2006/relationships/hyperlink" Id="rId57"/>
    <Relationship TargetMode="External" Target="https://www.legis.iowa.gov/docs/iac/rule/567.120.11.pdf" Type="http://schemas.openxmlformats.org/officeDocument/2006/relationships/hyperlink" Id="rId58"/>
    <Relationship TargetMode="External" Target="https://www.legis.iowa.gov/docs/iac/rule/567.120.12.pdf" Type="http://schemas.openxmlformats.org/officeDocument/2006/relationships/hyperlink" Id="rId59"/>
    <Relationship TargetMode="External" Target="https://www.legis.iowa.gov/docs/iac/rule/567.120.6.pdf" Type="http://schemas.openxmlformats.org/officeDocument/2006/relationships/hyperlink" Id="rId60"/>
    <Relationship TargetMode="External" Target="https://www.legis.iowa.gov/docs/iac/rule/567.120.12.pdf" Type="http://schemas.openxmlformats.org/officeDocument/2006/relationships/hyperlink" Id="rId61"/>
    <Relationship TargetMode="External" Target="https://www.legis.iowa.gov/docs/iac/rule/567.120.12.pdf" Type="http://schemas.openxmlformats.org/officeDocument/2006/relationships/hyperlink" Id="rId62"/>
    <Relationship TargetMode="External" Target="https://www.legis.iowa.gov/docs/iac/rule/567.120.12.pdf" Type="http://schemas.openxmlformats.org/officeDocument/2006/relationships/hyperlink" Id="rId63"/>
    <Relationship TargetMode="External" Target="https://www.legis.iowa.gov/docs/iac/rule/567.120.13.pdf" Type="http://schemas.openxmlformats.org/officeDocument/2006/relationships/hyperlink" Id="rId64"/>
    <Relationship TargetMode="External" Target="https://www.legis.iowa.gov/docs/iac/rule/567.120.12.pdf" Type="http://schemas.openxmlformats.org/officeDocument/2006/relationships/hyperlink" Id="rId65"/>
    <Relationship TargetMode="External" Target="https://www.legis.iowa.gov/docs/iac/rule/567.120.13.pdf" Type="http://schemas.openxmlformats.org/officeDocument/2006/relationships/hyperlink" Id="rId66"/>
    <Relationship TargetMode="External" Target="https://www.legis.iowa.gov/docs/iac/rule/567.120.13.pdf" Type="http://schemas.openxmlformats.org/officeDocument/2006/relationships/hyperlink" Id="rId67"/>
    <Relationship TargetMode="External" Target="https://www.legis.iowa.gov/docs/iac/rule/567.120.13.pdf" Type="http://schemas.openxmlformats.org/officeDocument/2006/relationships/hyperlink" Id="rId68"/>
    <Relationship TargetMode="External" Target="https://www.legis.iowa.gov/docs/iac/rule/567.120.13.pdf" Type="http://schemas.openxmlformats.org/officeDocument/2006/relationships/hyperlink" Id="rId69"/>
    <Relationship TargetMode="External" Target="https://www.legis.iowa.gov/docs/ico/chapter/28E.pdf" Type="http://schemas.openxmlformats.org/officeDocument/2006/relationships/hyperlink" Id="rId70"/>
    <Relationship TargetMode="External" Target="https://www.legis.iowa.gov/docs/iac/rule/567.120.13.pdf" Type="http://schemas.openxmlformats.org/officeDocument/2006/relationships/hyperlink" Id="rId71"/>
    <Relationship TargetMode="External" Target="https://www.legis.iowa.gov/docs/iac/rule/567.120.13.pdf" Type="http://schemas.openxmlformats.org/officeDocument/2006/relationships/hyperlink" Id="rId72"/>
    <Relationship TargetMode="External" Target="https://www.legis.iowa.gov/docs/iac/rule/567.120.13.pdf" Type="http://schemas.openxmlformats.org/officeDocument/2006/relationships/hyperlink" Id="rId73"/>
    <Relationship TargetMode="External" Target="https://www.legis.iowa.gov/docs/iac/rule/567.120.13.pdf" Type="http://schemas.openxmlformats.org/officeDocument/2006/relationships/hyperlink" Id="rId74"/>
    <Relationship TargetMode="External" Target="https://www.legis.iowa.gov/docs/iac/rule/567.120.13.pdf" Type="http://schemas.openxmlformats.org/officeDocument/2006/relationships/hyperlink" Id="rId75"/>
    <Relationship TargetMode="External" Target="https://www.legis.iowa.gov/docs/iac/rule/567.120.12.pdf" Type="http://schemas.openxmlformats.org/officeDocument/2006/relationships/hyperlink" Id="rId76"/>
    <Relationship TargetMode="External" Target="https://www.legis.iowa.gov/docs/iac/rule/567.120.13.pdf" Type="http://schemas.openxmlformats.org/officeDocument/2006/relationships/hyperlink" Id="rId77"/>
    <Relationship TargetMode="External" Target="https://www.legis.iowa.gov/docs/ico/chapter/455B.301A.pdf" Type="http://schemas.openxmlformats.org/officeDocument/2006/relationships/hyperlink" Id="rId78"/>
    <Relationship TargetMode="External" Target="https://www.legis.iowa.gov/docs/ico/chapter/455B.304.pdf" Type="http://schemas.openxmlformats.org/officeDocument/2006/relationships/hyperlink" Id="rId79"/>
    <Relationship TargetMode="External" Target="https://www.legis.iowa.gov/docs/ico/chapter/455B.383.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