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194.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113</w:t>
      </w:r>
    </w:p>
    <w:p>
      <w:pPr>
        <w:spacing w:before="0" w:after="0"/>
        <w:ind w:left="120"/>
        <w:jc w:val="center"/>
      </w:pPr>
      <w:r>
        <w:br/>
      </w:r>
      <w:r>
        <w:rPr>
          <w:rFonts w:ascii="Times New Roman" w:hAnsi="Times New Roman"/>
          <w:b w:val="false"/>
          <w:i w:val="false"/>
          <w:color w:val="000000"/>
          <w:sz w:val="21"/>
        </w:rPr>
        <w:t>SANITARY LANDFILLS FOR MUNICIPAL</w:t>
      </w:r>
      <w:r>
        <w:br/>
      </w:r>
      <w:r>
        <w:rPr>
          <w:rFonts w:ascii="Times New Roman" w:hAnsi="Times New Roman"/>
          <w:b w:val="false"/>
          <w:i w:val="false"/>
          <w:color w:val="000000"/>
          <w:sz w:val="21"/>
        </w:rPr>
        <w:t>SOLID WASTE: GROUNDWATER PROTECTION SYSTEMS FOR THE DISPOSAL OF NONHAZARDOUS WASTES</w:t>
      </w:r>
    </w:p>
    <w:p>
      <w:pPr>
        <w:spacing w:before="0" w:after="0"/>
        <w:ind w:left="120"/>
        <w:jc w:val="center"/>
      </w:pPr>
      <w:r>
        <w:rPr>
          <w:rFonts w:ascii="Times New Roman" w:hAnsi="Times New Roman"/>
          <w:b w:val="false"/>
          <w:i w:val="false"/>
          <w:color w:val="000000"/>
          <w:sz w:val="14"/>
        </w:rPr>
        <w:t>[Prior to 12/11/02, see 567—Chs 102, 103, 110]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567—113.1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protect human health and the environment through the implementation of minimum national standards pursuant to the Resource Conservation and Recovery Act (“RCRA” or “the Act”) for all municipal solid waste landfill (MSWLF) units and under the Clean Water Act for MSWLFs that are used to dispose of sewage sludge.</w:t>
      </w:r>
    </w:p>
    <w:p>
      <w:pPr>
        <w:spacing w:before="0" w:after="0"/>
        <w:ind w:left="120"/>
        <w:jc w:val="both"/>
      </w:pPr>
      <w:r>
        <w:rPr>
          <w:rFonts w:ascii="Times New Roman" w:hAnsi="Times New Roman"/>
          <w:b w:val="false"/>
          <w:i w:val="false"/>
          <w:color w:val="000000"/>
          <w:sz w:val="22"/>
        </w:rPr>
        <w:t>This chapter details the permitting, siting, design, operating, monitoring, corrective action, reporting, record-keeping, closure, and postclosure requirements for all sanitary landfills accepting municipal solid waste (MSW).</w:t>
      </w:r>
    </w:p>
    <w:p>
      <w:pPr>
        <w:spacing w:before="0" w:after="0"/>
        <w:ind w:left="120"/>
        <w:jc w:val="both"/>
      </w:pPr>
      <w:r>
        <w:rPr>
          <w:rFonts w:ascii="Times New Roman" w:hAnsi="Times New Roman"/>
          <w:b w:val="false"/>
          <w:i w:val="false"/>
          <w:color w:val="000000"/>
          <w:sz w:val="22"/>
        </w:rPr>
        <w:t>Groundwater is a precious natural resource. The vast majority of citizens in Iowa depend on groundwater as a drinking water source. Agriculture, industry and commerce also depend heavily on groundwater. It is essential to the health, welfare, and economic prosperity of all citizens in Iowa that groundwater is protected and that the prevention of groundwater contamination is of paramount importance. Therefore, the intent of this chapter is to prevent groundwater contamination from MSWLF units to the maximum extent practical, and if necessary to restore the groundwater to a potable state, regardless of present condition, use, or characteristics.</w:t>
      </w:r>
    </w:p>
    <w:p>
      <w:pPr>
        <w:spacing w:before="0" w:after="0"/>
        <w:ind w:left="120"/>
        <w:jc w:val="both"/>
      </w:pPr>
      <w:r>
        <w:rPr>
          <w:rFonts w:ascii="Times New Roman" w:hAnsi="Times New Roman"/>
          <w:b/>
          <w:i w:val="false"/>
          <w:color w:val="000000"/>
          <w:sz w:val="22"/>
        </w:rPr>
        <w:t>567—113.2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w:t>
      </w:r>
      <w:r>
        <w:rPr>
          <w:rFonts w:ascii="Times New Roman" w:hAnsi="Times New Roman"/>
          <w:b w:val="false"/>
          <w:i w:val="false"/>
          <w:color w:val="000000"/>
          <w:sz w:val="22"/>
        </w:rPr>
        <w:t> </w:t>
      </w:r>
      <w:r>
        <w:rPr>
          <w:rFonts w:ascii="Times New Roman" w:hAnsi="Times New Roman"/>
          <w:b w:val="false"/>
          <w:i w:val="false"/>
          <w:color w:val="000000"/>
          <w:sz w:val="22"/>
        </w:rPr>
        <w:t>All sanitary landfills accepting municipal solid waste must comply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encompass the beneficial use of by-products as alternative cover material. For rules pertaining to the beneficial use of by-products as alternative cover material, see </w:t>
      </w:r>
      <w:hyperlink r:id="rId5">
        <w:r>
          <w:rPr>
            <w:rStyle w:val="Hyperlink"/>
            <w:rFonts w:ascii="Times New Roman" w:hAnsi="Times New Roman"/>
            <w:b w:val="false"/>
            <w:i w:val="false"/>
            <w:color w:val="000000"/>
            <w:sz w:val="22"/>
          </w:rPr>
          <w:t>567—Chapter 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encompass the management and disposal of special wastes. For rules pertaining to the management and disposal of special wastes, see </w:t>
      </w:r>
      <w:hyperlink r:id="rId6">
        <w:r>
          <w:rPr>
            <w:rStyle w:val="Hyperlink"/>
            <w:rFonts w:ascii="Times New Roman" w:hAnsi="Times New Roman"/>
            <w:b w:val="false"/>
            <w:i w:val="false"/>
            <w:color w:val="000000"/>
            <w:sz w:val="22"/>
          </w:rPr>
          <w:t>567—Chapter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113.2(4)</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MSWLF units that did not receive waste after October 9, 1994. The closure permit issued or the rules in effect at the time of closure shall govern postclosure activities for such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113.2(5)</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MSWLF units that stop receiving waste before October 1, 2007, and are not contiguous with MSWLF units that will continue to accept waste after October 1, 2007. For the purpose of this subrule, contiguous MSWLF units are those that adjoin, abut or have a common boundary or edge with one another or that utilize the same groundwater monitoring network system. The permit issued and the rules in effect at the time waste acceptance ceased shall govern postclosure activities for such MSWLF units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assurance in accordance with rule </w:t>
      </w:r>
      <w:hyperlink r:id="rId7">
        <w:r>
          <w:rPr>
            <w:rStyle w:val="Hyperlink"/>
            <w:rFonts w:ascii="Times New Roman" w:hAnsi="Times New Roman"/>
            <w:b w:val="false"/>
            <w:i w:val="false"/>
            <w:color w:val="000000"/>
            <w:sz w:val="22"/>
          </w:rPr>
          <w:t>567—113.14</w:t>
        </w:r>
      </w:hyperlink>
      <w:r>
        <w:rPr>
          <w:rFonts w:ascii="Times New Roman" w:hAnsi="Times New Roman"/>
          <w:b w:val="false"/>
          <w:i w:val="false"/>
          <w:color w:val="000000"/>
          <w:sz w:val="22"/>
        </w:rPr>
        <w:t>(455B)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MSWLF units described in this subrule that fail to complete cover installation within one year after October 1, 2007, will be subject to all the requirements of this chapter,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sampling in accordance with subrule </w:t>
      </w:r>
      <w:hyperlink r:id="rId8">
        <w:r>
          <w:rPr>
            <w:rStyle w:val="Hyperlink"/>
            <w:rFonts w:ascii="Times New Roman" w:hAnsi="Times New Roman"/>
            <w:b w:val="false"/>
            <w:i w:val="false"/>
            <w:color w:val="000000"/>
            <w:sz w:val="22"/>
          </w:rPr>
          <w:t>113.10(3)</w:t>
        </w:r>
      </w:hyperlink>
      <w:r>
        <w:rPr>
          <w:rFonts w:ascii="Times New Roman" w:hAnsi="Times New Roman"/>
          <w:b w:val="false"/>
          <w:i w:val="false"/>
          <w:color w:val="000000"/>
          <w:sz w:val="22"/>
        </w:rPr>
        <w:t xml:space="preserv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MSWLF units subject to this rule shall perform groundwater sampling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semiannual water sampling parameters: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Chloride.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Specific conductance (field measurement).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pH (field measurement).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Ammonia nitrogen.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Iron, dissolved.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Chemical oxygen demand.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Routine annual water sampling parameters: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Total organic halogen.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Phenols.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analytical results for a downgradient groundwater monitoring point do not fall within the control limits of two standard deviations above (or below for pH) the mean parameters, listed in subparagraphs </w:t>
      </w:r>
      <w:hyperlink r:id="rId9">
        <w:r>
          <w:rPr>
            <w:rStyle w:val="Hyperlink"/>
            <w:rFonts w:ascii="Times New Roman" w:hAnsi="Times New Roman"/>
            <w:b w:val="false"/>
            <w:i w:val="false"/>
            <w:color w:val="000000"/>
            <w:sz w:val="22"/>
          </w:rPr>
          <w:t>113.2(5)</w:t>
        </w:r>
      </w:hyperlink>
      <w:r>
        <w:rPr>
          <w:rFonts w:ascii="Times New Roman" w:hAnsi="Times New Roman"/>
          <w:b w:val="false"/>
          <w:i/>
          <w:color w:val="000000"/>
          <w:sz w:val="22"/>
        </w:rPr>
        <w:t>“d”</w:t>
      </w:r>
      <w:r>
        <w:rPr>
          <w:rFonts w:ascii="Times New Roman" w:hAnsi="Times New Roman"/>
          <w:b w:val="false"/>
          <w:i w:val="false"/>
          <w:color w:val="000000"/>
          <w:sz w:val="22"/>
        </w:rPr>
        <w:t xml:space="preserve">(1) and (2), in a corresponding upgradient groundwater monitoring point and it cannot be demonstrated that a source other than an MSWLF unit caused the control limit exceedence, then the owner or operator shall comply with the groundwater assessment monitoring program requirements in subrule </w:t>
      </w:r>
      <w:hyperlink r:id="rId10">
        <w:r>
          <w:rPr>
            <w:rStyle w:val="Hyperlink"/>
            <w:rFonts w:ascii="Times New Roman" w:hAnsi="Times New Roman"/>
            <w:b w:val="false"/>
            <w:i w:val="false"/>
            <w:color w:val="000000"/>
            <w:sz w:val="22"/>
          </w:rPr>
          <w:t>113.10(6)</w:t>
        </w:r>
      </w:hyperlink>
      <w:r>
        <w:rPr>
          <w:rFonts w:ascii="Times New Roman" w:hAnsi="Times New Roman"/>
          <w:b w:val="false"/>
          <w:i w:val="false"/>
          <w:color w:val="000000"/>
          <w:sz w:val="22"/>
        </w:rPr>
        <w:t xml:space="preserve"> and corrective action requirements in subrules </w:t>
      </w:r>
      <w:hyperlink r:id="rId11">
        <w:r>
          <w:rPr>
            <w:rStyle w:val="Hyperlink"/>
            <w:rFonts w:ascii="Times New Roman" w:hAnsi="Times New Roman"/>
            <w:b w:val="false"/>
            <w:i w:val="false"/>
            <w:color w:val="000000"/>
            <w:sz w:val="22"/>
          </w:rPr>
          <w:t>113.10(7)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113.10(8)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113.10(9)</w:t>
        </w:r>
      </w:hyperlink>
      <w:r>
        <w:rPr>
          <w:rFonts w:ascii="Times New Roman" w:hAnsi="Times New Roman"/>
          <w:b w:val="false"/>
          <w:i w:val="false"/>
          <w:color w:val="000000"/>
          <w:sz w:val="22"/>
        </w:rPr>
        <w:t>,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113.2(6)</w:t>
      </w:r>
      <w:r>
        <w:rPr>
          <w:rFonts w:ascii="Times New Roman" w:hAnsi="Times New Roman"/>
          <w:b w:val="false"/>
          <w:i w:val="false"/>
          <w:color w:val="000000"/>
          <w:sz w:val="22"/>
        </w:rPr>
        <w:t> </w:t>
      </w:r>
      <w:r>
        <w:rPr>
          <w:rFonts w:ascii="Times New Roman" w:hAnsi="Times New Roman"/>
          <w:b w:val="false"/>
          <w:i w:val="false"/>
          <w:color w:val="000000"/>
          <w:sz w:val="22"/>
        </w:rPr>
        <w:t>MSWLF units containing sewage sludge and failing to satisfy the requirements of this chapter violate Sections 309 and 405(e) of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113.2(7)</w:t>
      </w:r>
      <w:r>
        <w:rPr>
          <w:rFonts w:ascii="Times New Roman" w:hAnsi="Times New Roman"/>
          <w:b w:val="false"/>
          <w:i w:val="false"/>
          <w:color w:val="000000"/>
          <w:sz w:val="22"/>
        </w:rPr>
        <w:t> </w:t>
      </w:r>
      <w:r>
        <w:rPr>
          <w:rFonts w:ascii="Times New Roman" w:hAnsi="Times New Roman"/>
          <w:b w:val="false"/>
          <w:i w:val="false"/>
          <w:color w:val="000000"/>
          <w:sz w:val="22"/>
        </w:rPr>
        <w:t>Consideration of other laws. The issuance of an MSWLF permit by the department in no way relieves the permit holder of the responsibility of complying with all other local, state, or federal statutes, ordinances, and rules and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113.2(8)</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of existing MSWLF units. </w:t>
      </w:r>
      <w:r>
        <w:rPr>
          <w:rFonts w:ascii="Times New Roman" w:hAnsi="Times New Roman"/>
          <w:b/>
          <w:i w:val="false"/>
          <w:color w:val="000000"/>
          <w:sz w:val="16"/>
        </w:rPr>
        <w:t>[See Objection at 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MSWLF units that cannot make the demonstration specified in paragraph </w:t>
      </w:r>
      <w:hyperlink r:id="rId14">
        <w:r>
          <w:rPr>
            <w:rStyle w:val="Hyperlink"/>
            <w:rFonts w:ascii="Times New Roman" w:hAnsi="Times New Roman"/>
            <w:b w:val="false"/>
            <w:i w:val="false"/>
            <w:color w:val="000000"/>
            <w:sz w:val="22"/>
          </w:rPr>
          <w:t>113.6(2)</w:t>
        </w:r>
        <w:r>
          <w:rPr>
            <w:rFonts w:ascii="Times New Roman" w:hAnsi="Times New Roman"/>
            <w:b w:val="false"/>
            <w:i/>
            <w:color w:val="000000"/>
            <w:sz w:val="22"/>
          </w:rPr>
          <w:t>“a,”</w:t>
        </w:r>
      </w:hyperlink>
      <w:r>
        <w:rPr>
          <w:rFonts w:ascii="Times New Roman" w:hAnsi="Times New Roman"/>
          <w:b w:val="false"/>
          <w:i w:val="false"/>
          <w:color w:val="000000"/>
          <w:sz w:val="22"/>
        </w:rPr>
        <w:t xml:space="preserve"> pertaining to airports, in </w:t>
      </w:r>
      <w:hyperlink r:id="rId15">
        <w:r>
          <w:rPr>
            <w:rStyle w:val="Hyperlink"/>
            <w:rFonts w:ascii="Times New Roman" w:hAnsi="Times New Roman"/>
            <w:b w:val="false"/>
            <w:i w:val="false"/>
            <w:color w:val="000000"/>
            <w:sz w:val="22"/>
          </w:rPr>
          <w:t>113.6(2)</w:t>
        </w:r>
        <w:r>
          <w:rPr>
            <w:rFonts w:ascii="Times New Roman" w:hAnsi="Times New Roman"/>
            <w:b w:val="false"/>
            <w:i/>
            <w:color w:val="000000"/>
            <w:sz w:val="22"/>
          </w:rPr>
          <w:t>“b,”</w:t>
        </w:r>
      </w:hyperlink>
      <w:r>
        <w:rPr>
          <w:rFonts w:ascii="Times New Roman" w:hAnsi="Times New Roman"/>
          <w:b w:val="false"/>
          <w:i w:val="false"/>
          <w:color w:val="000000"/>
          <w:sz w:val="22"/>
        </w:rPr>
        <w:t xml:space="preserve"> pertaining to floodplains, or in </w:t>
      </w:r>
      <w:hyperlink r:id="rId16">
        <w:r>
          <w:rPr>
            <w:rStyle w:val="Hyperlink"/>
            <w:rFonts w:ascii="Times New Roman" w:hAnsi="Times New Roman"/>
            <w:b w:val="false"/>
            <w:i w:val="false"/>
            <w:color w:val="000000"/>
            <w:sz w:val="22"/>
          </w:rPr>
          <w:t>113.6(2)</w:t>
        </w:r>
        <w:r>
          <w:rPr>
            <w:rFonts w:ascii="Times New Roman" w:hAnsi="Times New Roman"/>
            <w:b w:val="false"/>
            <w:i/>
            <w:color w:val="000000"/>
            <w:sz w:val="22"/>
          </w:rPr>
          <w:t>“f,”</w:t>
        </w:r>
      </w:hyperlink>
      <w:r>
        <w:rPr>
          <w:rFonts w:ascii="Times New Roman" w:hAnsi="Times New Roman"/>
          <w:b w:val="false"/>
          <w:i w:val="false"/>
          <w:color w:val="000000"/>
          <w:sz w:val="22"/>
        </w:rPr>
        <w:t xml:space="preserve"> pertaining to unstable areas, must close in accordance with rule </w:t>
      </w:r>
      <w:hyperlink r:id="rId17">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 xml:space="preserve">(455B) and conduct postclosure activities in accordance with rule </w:t>
      </w:r>
      <w:hyperlink r:id="rId18">
        <w:r>
          <w:rPr>
            <w:rStyle w:val="Hyperlink"/>
            <w:rFonts w:ascii="Times New Roman" w:hAnsi="Times New Roman"/>
            <w:b w:val="false"/>
            <w:i w:val="false"/>
            <w:color w:val="000000"/>
            <w:sz w:val="22"/>
          </w:rPr>
          <w:t>567—113.13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MSWLF units that do not have an approved leachate collection system and a composite liner or a leachate collection system and an alternative liner modeled at an approved point of compliance shall cease accepting waste by October 1, 2007.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Rescinded IAB 12/31/08, effective 2/4/09.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existing MSWLF units demonstrating placement of final cover in conformance with previously approved plans and specifications or regulations in effect at the time of such closure shall not be required to apply additional cover solely to achieve compliance with rule </w:t>
      </w:r>
      <w:hyperlink r:id="rId19">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113.2(9)</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MSWLF units that continue accepting waste after October 1, 2007, shall submit an implementation plan to the department by January 31, 2008, that identifies how the MSWLF shall achieve compliance with these rules. The plan shall include a compliance schedule which shall not extend beyond January 31, 2011. This subrule shall not preclude compliance with subrule </w:t>
      </w:r>
      <w:hyperlink r:id="rId20">
        <w:r>
          <w:rPr>
            <w:rStyle w:val="Hyperlink"/>
            <w:rFonts w:ascii="Times New Roman" w:hAnsi="Times New Roman"/>
            <w:b w:val="false"/>
            <w:i w:val="false"/>
            <w:color w:val="000000"/>
            <w:sz w:val="22"/>
          </w:rPr>
          <w:t>113.2(8)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113.2(10)</w:t>
      </w:r>
      <w:r>
        <w:rPr>
          <w:rFonts w:ascii="Times New Roman" w:hAnsi="Times New Roman"/>
          <w:b w:val="false"/>
          <w:i w:val="false"/>
          <w:color w:val="000000"/>
          <w:sz w:val="22"/>
        </w:rPr>
        <w:t> </w:t>
      </w:r>
      <w:r>
        <w:rPr>
          <w:rFonts w:ascii="Times New Roman" w:hAnsi="Times New Roman"/>
          <w:b w:val="false"/>
          <w:i w:val="false"/>
          <w:color w:val="000000"/>
          <w:sz w:val="22"/>
        </w:rPr>
        <w:t>Compliance with amendments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existing MSWLF units that have an approved leachate collection system and a composite liner or a leachate collection system and an alternative liner modeled at an approved point of compliance shall not be required to redesign or reconstruct the MSWLF units due to amendments to these rules subsequent to such approval unless the department finds that such facilities are causing pollution or that continued use of such facilities results in a vertical expansion on top of or against the side slopes of a previously filled noncompliant MSWLF unit. Prior to waste placement in the vertical expansion area, revised design plans shall be submitted to include construction of a separatory liner and leachate collection system that comply with all the requirements of subrule 113.7(5) to be placed between the area of vertical expansion and the underlying noncompliant MSWLF unit. The department, in conjunction with the MSWLF owner or operator, shall determine the maximum amount of time necessary for continued waste placement on top of or against the previously filled noncompliant MSWLF unit to achieve an adequate slope in order to maintain drainage of leachate to the leachate collection system after expected settlement. </w:t>
      </w:r>
      <w:r>
        <w:rPr>
          <w:rFonts w:ascii="Times New Roman" w:hAnsi="Times New Roman"/>
          <w:b/>
          <w:i w:val="false"/>
          <w:color w:val="000000"/>
          <w:sz w:val="16"/>
        </w:rPr>
        <w:t>[See Objection at 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authorized by subrule </w:t>
      </w:r>
      <w:hyperlink r:id="rId21">
        <w:r>
          <w:rPr>
            <w:rStyle w:val="Hyperlink"/>
            <w:rFonts w:ascii="Times New Roman" w:hAnsi="Times New Roman"/>
            <w:b w:val="false"/>
            <w:i w:val="false"/>
            <w:color w:val="000000"/>
            <w:sz w:val="22"/>
          </w:rPr>
          <w:t>113.2(9)</w:t>
        </w:r>
      </w:hyperlink>
      <w:r>
        <w:rPr>
          <w:rFonts w:ascii="Times New Roman" w:hAnsi="Times New Roman"/>
          <w:b w:val="false"/>
          <w:i w:val="false"/>
          <w:color w:val="000000"/>
          <w:sz w:val="22"/>
        </w:rPr>
        <w:t xml:space="preserve"> and paragraph </w:t>
      </w:r>
      <w:hyperlink r:id="rId22">
        <w:r>
          <w:rPr>
            <w:rStyle w:val="Hyperlink"/>
            <w:rFonts w:ascii="Times New Roman" w:hAnsi="Times New Roman"/>
            <w:b w:val="false"/>
            <w:i w:val="false"/>
            <w:color w:val="000000"/>
            <w:sz w:val="22"/>
          </w:rPr>
          <w:t>113.2(10)</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any new requirement conflicts with a provision of or an operating procedure prescribed in the engineering plans or the MSWLF permit, the facility shall conform to the new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113.2(11)</w:t>
      </w:r>
      <w:r>
        <w:rPr>
          <w:rFonts w:ascii="Times New Roman" w:hAnsi="Times New Roman"/>
          <w:b w:val="false"/>
          <w:i w:val="false"/>
          <w:color w:val="000000"/>
          <w:sz w:val="22"/>
        </w:rPr>
        <w:t> </w:t>
      </w:r>
      <w:r>
        <w:rPr>
          <w:rFonts w:ascii="Times New Roman" w:hAnsi="Times New Roman"/>
          <w:b w:val="false"/>
          <w:i w:val="false"/>
          <w:color w:val="000000"/>
          <w:sz w:val="22"/>
        </w:rPr>
        <w:t>Equivalency review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approving a permit application under this chapter, the department may authorize, in writing, alternatives to the design requirements in this chapter only if, and only to the extent that, specific rules in this chapter expressly state that alternatives may be authorized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owner or operator requesting an alternative design under this chapter shall submit a request to the department prepared by an Iowa-licensed professional engineer. The request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specific rule for which an equivalency alternative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through supporting technical documentation, justification and quality control procedures, that the requested alternative to the design requirements in the rules of this chapter will, for the life of operations at the facility, achieve the performance standards in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equivalency alternative will be approved unless the application affirmatively demonstrates that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is complete and accurate and the requirements of this subrule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alternative will, for the life of operations at the facility, achieve the performance standards in the rule for which the alternative to the design requirements in that rule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alternative will provide protection equivalent to the design requirements in this chapter for the air, water or other natural resources of the state of Iowa, and will not harm or endanger the public health, safety or welfare.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567—113.3</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Unless otherwise noted, the definitions set forth in Iowa Code section </w:t>
      </w:r>
      <w:hyperlink r:id="rId23">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which are incorporated by reference; the definitions that appear in specific rules within this chapter; and the following definitions shall apply to this chapter: </w:t>
      </w:r>
      <w:r>
        <w:rPr>
          <w:rFonts w:ascii="Times New Roman" w:hAnsi="Times New Roman"/>
          <w:b/>
          <w:i w:val="false"/>
          <w:color w:val="000000"/>
          <w:sz w:val="16"/>
        </w:rPr>
        <w:t>[See Objection at 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life” </w:t>
      </w:r>
      <w:r>
        <w:rPr>
          <w:rFonts w:ascii="Times New Roman" w:hAnsi="Times New Roman"/>
          <w:b w:val="false"/>
          <w:i w:val="false"/>
          <w:color w:val="000000"/>
          <w:sz w:val="22"/>
        </w:rPr>
        <w:t xml:space="preserve">means the period of operation beginning with the initial receipt of solid waste and ending at completion of closure activities in accordance with rule </w:t>
      </w:r>
      <w:hyperlink r:id="rId25">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portion” </w:t>
      </w:r>
      <w:r>
        <w:rPr>
          <w:rFonts w:ascii="Times New Roman" w:hAnsi="Times New Roman"/>
          <w:b w:val="false"/>
          <w:i w:val="false"/>
          <w:color w:val="000000"/>
          <w:sz w:val="22"/>
        </w:rPr>
        <w:t xml:space="preserve">means that part of a facility or unit that has received or is receiving wastes and that has not been closed in accordance with rule </w:t>
      </w:r>
      <w:hyperlink r:id="rId26">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 </w:t>
      </w:r>
      <w:r>
        <w:rPr>
          <w:rFonts w:ascii="Times New Roman" w:hAnsi="Times New Roman"/>
          <w:b w:val="false"/>
          <w:i w:val="false"/>
          <w:color w:val="000000"/>
          <w:sz w:val="22"/>
        </w:rPr>
        <w:t xml:space="preserve">has the same meaning as in </w:t>
      </w:r>
      <w:hyperlink r:id="rId27">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solid waste” </w:t>
      </w:r>
      <w:r>
        <w:rPr>
          <w:rFonts w:ascii="Times New Roman" w:hAnsi="Times New Roman"/>
          <w:b w:val="false"/>
          <w:i w:val="false"/>
          <w:color w:val="000000"/>
          <w:sz w:val="22"/>
        </w:rPr>
        <w:t>means all types of solid waste generated by stores, offices, restaurants, warehouses, and other nonmanufacturing activities, excluding residential and industrial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MSWLF unit” </w:t>
      </w:r>
      <w:r>
        <w:rPr>
          <w:rFonts w:ascii="Times New Roman" w:hAnsi="Times New Roman"/>
          <w:b w:val="false"/>
          <w:i w:val="false"/>
          <w:color w:val="000000"/>
          <w:sz w:val="22"/>
        </w:rPr>
        <w:t>means any municipal solid waste landfill unit that has received solid waste as of the most recent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all contiguous land and structures, other appurtenances, and improvements on the land used for the disposal of solid waste. The facility is formally defined in the permit issued by the department. Buffer lands around a facility are not required to be included in the permitted boundary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water table” </w:t>
      </w:r>
      <w:r>
        <w:rPr>
          <w:rFonts w:ascii="Times New Roman" w:hAnsi="Times New Roman"/>
          <w:b w:val="false"/>
          <w:i w:val="false"/>
          <w:color w:val="000000"/>
          <w:sz w:val="22"/>
        </w:rPr>
        <w:t xml:space="preserve">has the same meaning as in </w:t>
      </w:r>
      <w:hyperlink r:id="rId28">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waste” </w:t>
      </w:r>
      <w:r>
        <w:rPr>
          <w:rFonts w:ascii="Times New Roman" w:hAnsi="Times New Roman"/>
          <w:b w:val="false"/>
          <w:i w:val="false"/>
          <w:color w:val="000000"/>
          <w:sz w:val="22"/>
        </w:rPr>
        <w:t>means any solid waste (including garbage, trash, and sanitary waste in septic tanks) derived from households (including single and multiple residences, hotels and motels, bunkhouses, ranger stations, crew quarters, campgrounds, picnic grounds, and day-use recreation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solid waste” </w:t>
      </w:r>
      <w:r>
        <w:rPr>
          <w:rFonts w:ascii="Times New Roman" w:hAnsi="Times New Roman"/>
          <w:b w:val="false"/>
          <w:i w:val="false"/>
          <w:color w:val="000000"/>
          <w:sz w:val="22"/>
        </w:rPr>
        <w:t>means solid waste generated by manufacturing or industrial processes that is not a hazardous waste regulated under Subtitle C of RCRA. Such waste may include, but is not limited to, waste resulting from the following manufacturing processes: electric power generation; fertilizer and agricultural chemicals; food and related products and by-products; inorganic chemicals; iron and steel manufacturing; leather and leather products; nonferrous metals manufacturing and foundries; organic chemicals; plastics and resins manufacturing; pulp and paper industry; rubber and miscellaneous plastic products; stone, glass, clay, and concrete products; textile manufacturing; transportation equipment; and water treatment. “Industrial solid waste” does not include mining waste or oil and gas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“Lateral expansion” </w:t>
      </w:r>
      <w:r>
        <w:rPr>
          <w:rFonts w:ascii="Times New Roman" w:hAnsi="Times New Roman"/>
          <w:b w:val="false"/>
          <w:i w:val="false"/>
          <w:color w:val="000000"/>
          <w:sz w:val="22"/>
        </w:rPr>
        <w:t>means a horizontal expansion of the waste boundaries of an existing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 solid waste landfill (MSWLF) unit” </w:t>
      </w:r>
      <w:r>
        <w:rPr>
          <w:rFonts w:ascii="Times New Roman" w:hAnsi="Times New Roman"/>
          <w:b w:val="false"/>
          <w:i w:val="false"/>
          <w:color w:val="000000"/>
          <w:sz w:val="22"/>
        </w:rPr>
        <w:t>means a discrete area of land or an excavation that receives household waste, and that is not a land application site, surface impoundment, injection well, or waste pile, as those terms are defined under 40 CFR Part 257.2. An MSWLF unit also may receive other types of RCRA Subtitle D wastes, such as commercial solid waste, nonhazardous sludge, construction and demolition debris, and industrial solid waste. An MSWLF unit may be publicly or privately owned. An MSWLF unit may be a new MSWLF unit, an existing MSWLF unit, or a lateral expansion. A construction and demolition landfill that receives residential lead-based paint waste and does not receive any other household waste is not an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MSWLF unit” </w:t>
      </w:r>
      <w:r>
        <w:rPr>
          <w:rFonts w:ascii="Times New Roman" w:hAnsi="Times New Roman"/>
          <w:b w:val="false"/>
          <w:i w:val="false"/>
          <w:color w:val="000000"/>
          <w:sz w:val="22"/>
        </w:rPr>
        <w:t>means any municipal solid waste landfill unit that has not received waste prior to the most recent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burning” </w:t>
      </w:r>
      <w:r>
        <w:rPr>
          <w:rFonts w:ascii="Times New Roman" w:hAnsi="Times New Roman"/>
          <w:b w:val="false"/>
          <w:i w:val="false"/>
          <w:color w:val="000000"/>
          <w:sz w:val="22"/>
        </w:rPr>
        <w:t xml:space="preserve">has the same meaning as in </w:t>
      </w:r>
      <w:hyperlink r:id="rId29">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 xml:space="preserve">has the same meaning as in </w:t>
      </w:r>
      <w:hyperlink r:id="rId30">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the person(s) who owns a facility or part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compliance”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“POC” </w:t>
      </w:r>
      <w:r>
        <w:rPr>
          <w:rFonts w:ascii="Times New Roman" w:hAnsi="Times New Roman"/>
          <w:b w:val="false"/>
          <w:i w:val="false"/>
          <w:color w:val="000000"/>
          <w:sz w:val="22"/>
        </w:rPr>
        <w:t>means the point at which the MSWLF owner or operator demonstrates compliance with the liner performance standard, if applicable, and with the groundwater protection standard. The point of compliance is a vertical surface located hydraulically downgradient of the waste management area that extends down into the uppermost aquifer underlying the regulated MSWLF unit(s) and where groundwater monitoring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lead-based paint waste” </w:t>
      </w:r>
      <w:r>
        <w:rPr>
          <w:rFonts w:ascii="Times New Roman" w:hAnsi="Times New Roman"/>
          <w:b w:val="false"/>
          <w:i w:val="false"/>
          <w:color w:val="000000"/>
          <w:sz w:val="22"/>
        </w:rPr>
        <w:t>means waste containing lead-based paint that is generated as a result of activities such as abatement, rehabilitation, renovation and remodeling in homes and other residences. “Residential lead-based paint waste” includes, but is not limited to, lead-based paint debris, chips, dust, and sludges.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“Runoff” </w:t>
      </w:r>
      <w:r>
        <w:rPr>
          <w:rFonts w:ascii="Times New Roman" w:hAnsi="Times New Roman"/>
          <w:b w:val="false"/>
          <w:i w:val="false"/>
          <w:color w:val="000000"/>
          <w:sz w:val="22"/>
        </w:rPr>
        <w:t>means any rainwater, leachate, or other liquid that drains over land from any part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“Run-on” </w:t>
      </w:r>
      <w:r>
        <w:rPr>
          <w:rFonts w:ascii="Times New Roman" w:hAnsi="Times New Roman"/>
          <w:b w:val="false"/>
          <w:i w:val="false"/>
          <w:color w:val="000000"/>
          <w:sz w:val="22"/>
        </w:rPr>
        <w:t>means any rainwater, leachate, or other liquid that drains over land onto any part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“Saturated zone” </w:t>
      </w:r>
      <w:r>
        <w:rPr>
          <w:rFonts w:ascii="Times New Roman" w:hAnsi="Times New Roman"/>
          <w:b w:val="false"/>
          <w:i w:val="false"/>
          <w:color w:val="000000"/>
          <w:sz w:val="22"/>
        </w:rPr>
        <w:t>means that part of the earth’s crust in which all voids are filled with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“Sewage sludge” </w:t>
      </w:r>
      <w:r>
        <w:rPr>
          <w:rFonts w:ascii="Times New Roman" w:hAnsi="Times New Roman"/>
          <w:b w:val="false"/>
          <w:i w:val="false"/>
          <w:color w:val="000000"/>
          <w:sz w:val="22"/>
        </w:rPr>
        <w:t xml:space="preserve">has the same meaning as in </w:t>
      </w:r>
      <w:hyperlink r:id="rId31">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“Sludge” </w:t>
      </w:r>
      <w:r>
        <w:rPr>
          <w:rFonts w:ascii="Times New Roman" w:hAnsi="Times New Roman"/>
          <w:b w:val="false"/>
          <w:i w:val="false"/>
          <w:color w:val="000000"/>
          <w:sz w:val="22"/>
        </w:rPr>
        <w:t>means any solid, semisolid, or liquid waste generated from a commercial or industrial wastewater treatment plant, water supply treatment plant, or air pollution control facility, or any other such waste having similar characteristics and effects exclusive of the treated effluent from a wastewater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“Statistically significant increase”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“SSI” </w:t>
      </w:r>
      <w:r>
        <w:rPr>
          <w:rFonts w:ascii="Times New Roman" w:hAnsi="Times New Roman"/>
          <w:b w:val="false"/>
          <w:i w:val="false"/>
          <w:color w:val="000000"/>
          <w:sz w:val="22"/>
        </w:rPr>
        <w:t>means a statistical difference large enough to account for data variability and not thought to be due to chance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“Uppermost aquifer” </w:t>
      </w:r>
      <w:r>
        <w:rPr>
          <w:rFonts w:ascii="Times New Roman" w:hAnsi="Times New Roman"/>
          <w:b w:val="false"/>
          <w:i w:val="false"/>
          <w:color w:val="000000"/>
          <w:sz w:val="22"/>
        </w:rPr>
        <w:t>means the geologic formation nearest the natural ground surface that is an aquifer, as well as lower aquifers that are hydraulically interconnected with this aquifer within the facility’s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expansion” </w:t>
      </w:r>
      <w:r>
        <w:rPr>
          <w:rFonts w:ascii="Times New Roman" w:hAnsi="Times New Roman"/>
          <w:b w:val="false"/>
          <w:i w:val="false"/>
          <w:color w:val="000000"/>
          <w:sz w:val="22"/>
        </w:rPr>
        <w:t>means additional waste placement on top of or against the side slopes of a previously filled MSWLF unit, whether active, closed, or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management unit boundary” </w:t>
      </w:r>
      <w:r>
        <w:rPr>
          <w:rFonts w:ascii="Times New Roman" w:hAnsi="Times New Roman"/>
          <w:b w:val="false"/>
          <w:i w:val="false"/>
          <w:color w:val="000000"/>
          <w:sz w:val="22"/>
        </w:rPr>
        <w:t>means a vertical surface located at the hydraulically downgradient limit of the unit. This vertical surface extends down into the uppermost aquifer.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567—113.4</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An MSWLF unit shall not be constructed or operated without a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operation. </w:t>
      </w:r>
      <w:r>
        <w:rPr>
          <w:rFonts w:ascii="Times New Roman" w:hAnsi="Times New Roman"/>
          <w:b w:val="false"/>
          <w:i w:val="false"/>
          <w:color w:val="000000"/>
          <w:sz w:val="22"/>
        </w:rPr>
        <w:t>An MSWLF unit shall be constructed and operated according to this chapter, any plans and specifications approved by the department, and the conditions of the permit. Any approved plans and specifications shall constitute a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113.4(3)</w:t>
      </w:r>
      <w:r>
        <w:rPr>
          <w:rFonts w:ascii="Times New Roman" w:hAnsi="Times New Roman"/>
          <w:b w:val="false"/>
          <w:i w:val="false"/>
          <w:color w:val="000000"/>
          <w:sz w:val="22"/>
        </w:rPr>
        <w:t> </w:t>
      </w:r>
      <w:r>
        <w:rPr>
          <w:rFonts w:ascii="Times New Roman" w:hAnsi="Times New Roman"/>
          <w:b w:val="false"/>
          <w:i/>
          <w:color w:val="000000"/>
          <w:sz w:val="22"/>
        </w:rPr>
        <w:t xml:space="preserve">Transfer of title and permit. </w:t>
      </w:r>
      <w:r>
        <w:rPr>
          <w:rFonts w:ascii="Times New Roman" w:hAnsi="Times New Roman"/>
          <w:b w:val="false"/>
          <w:i w:val="false"/>
          <w:color w:val="000000"/>
          <w:sz w:val="22"/>
        </w:rPr>
        <w:t>If title to an MSWLF unit is transferred, then the department shall transfer the permit within 60 days if the department has found that the following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transferee has applied in writing to the department to request a transfer of the permit within 30 days of the transfer of the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permitted facility is in compliance with Iowa Code chapters </w:t>
      </w:r>
      <w:hyperlink r:id="rId3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this chapter and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transferee possesses the equipment and personnel to operate the project in conformance with Iowa Code chapter </w:t>
      </w:r>
      <w:hyperlink r:id="rId3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and the terms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113.4(4)</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 xml:space="preserve">Any permit may be issued subject to conditions specified in writing by the department that are necessary to ensure that the facility is constructed and operated in a safe and effective manner, and in compliance with Iowa Code chapters </w:t>
      </w:r>
      <w:hyperlink r:id="rId3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this chapter and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113.4(5)</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an MSWLF permit held by any public or private agency is revoked by the department, then no new permit shall be issued to that agency for that MSWLF for a period of one year from the date of revocation. Such revocation shall not prohibit the issuance of a permit for the facility to another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113.4(6)</w:t>
      </w:r>
      <w:r>
        <w:rPr>
          <w:rFonts w:ascii="Times New Roman" w:hAnsi="Times New Roman"/>
          <w:b w:val="false"/>
          <w:i w:val="false"/>
          <w:color w:val="000000"/>
          <w:sz w:val="22"/>
        </w:rPr>
        <w:t> </w:t>
      </w:r>
      <w:r>
        <w:rPr>
          <w:rFonts w:ascii="Times New Roman" w:hAnsi="Times New Roman"/>
          <w:b w:val="false"/>
          <w:i/>
          <w:color w:val="000000"/>
          <w:sz w:val="22"/>
        </w:rPr>
        <w:t xml:space="preserve">Inspection of site and operation. </w:t>
      </w:r>
      <w:r>
        <w:rPr>
          <w:rFonts w:ascii="Times New Roman" w:hAnsi="Times New Roman"/>
          <w:b w:val="false"/>
          <w:i w:val="false"/>
          <w:color w:val="000000"/>
          <w:sz w:val="22"/>
        </w:rPr>
        <w:t>The department shall be notified when the construction of a new facility or MSWLF unit or significant components thereof have been completed so that the department may inspect the facility to determine if the project has been constructed in accordance with the design approved by the department. The department shall inspect and approve a new facility or MSWLF unit before MSW may be accepted. The department shall inspect a facility and its operations on a regular basis to determine if the facility is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113.4(7)</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 xml:space="preserve">An MSWLF permit shall be issued and may be renewed for a period no longer than five years, unless the MSWLF adopts research, development and demonstration (RD&amp;D) provisions pursuant to subrule </w:t>
      </w:r>
      <w:hyperlink r:id="rId37">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 xml:space="preserve">. An MSWLF permit with RD&amp;D provisions pursuant to subrule </w:t>
      </w:r>
      <w:hyperlink r:id="rId38">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 xml:space="preserve"> shall be issued and may be renewed for a period no longer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Closure permits. </w:t>
      </w:r>
      <w:r>
        <w:rPr>
          <w:rFonts w:ascii="Times New Roman" w:hAnsi="Times New Roman"/>
          <w:b w:val="false"/>
          <w:i w:val="false"/>
          <w:color w:val="000000"/>
          <w:sz w:val="22"/>
        </w:rPr>
        <w:t>An MSWLF closure permit shall be issued only after a facility no longer accepts solid waste. A closure permit shall initially be issued for a period of 30 years. If the department extends the postclosure period beyond 30 years, then the duration of the subsequent closure permit will be determined on a site-specific basis. An MSWLF requires a closure permit until the department determines that postclosure operations are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113.4(8)</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A request for an operating permit renewal shall be in writing and filed at least 90 days before the expiration of the current permit. If the applicant is found not to be in compliance with this chapter or the permit requirements, then the applicant shall achieve compliance or be placed on a compliance schedule approved by the department before the permit may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Closure permits. </w:t>
      </w:r>
      <w:r>
        <w:rPr>
          <w:rFonts w:ascii="Times New Roman" w:hAnsi="Times New Roman"/>
          <w:b w:val="false"/>
          <w:i w:val="false"/>
          <w:color w:val="000000"/>
          <w:sz w:val="22"/>
        </w:rPr>
        <w:t>A request for a closure permit renewal or termination shall be filed at least 180 days before the expiration of the current permit. If the department finds that an MSWLF has completed all required postclosure activities and no longer presents a significant risk to human health or the environment, then the department shall issue written notification that a closure permit is no longer required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113.4(9)</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amendment. </w:t>
      </w:r>
      <w:r>
        <w:rPr>
          <w:rFonts w:ascii="Times New Roman" w:hAnsi="Times New Roman"/>
          <w:b w:val="false"/>
          <w:i w:val="false"/>
          <w:color w:val="000000"/>
          <w:sz w:val="22"/>
        </w:rPr>
        <w:t>Requests for permit amendments must be submitted in writing to the department with supporting documentation and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113.4(10)</w:t>
      </w:r>
      <w:r>
        <w:rPr>
          <w:rFonts w:ascii="Times New Roman" w:hAnsi="Times New Roman"/>
          <w:b w:val="false"/>
          <w:i w:val="false"/>
          <w:color w:val="000000"/>
          <w:sz w:val="22"/>
        </w:rPr>
        <w:t> </w:t>
      </w:r>
      <w:r>
        <w:rPr>
          <w:rFonts w:ascii="Times New Roman" w:hAnsi="Times New Roman"/>
          <w:b w:val="false"/>
          <w:i/>
          <w:color w:val="000000"/>
          <w:sz w:val="22"/>
        </w:rPr>
        <w:t xml:space="preserve">RD&amp;D permits. </w:t>
      </w:r>
      <w:r>
        <w:rPr>
          <w:rFonts w:ascii="Times New Roman" w:hAnsi="Times New Roman"/>
          <w:b w:val="false"/>
          <w:i w:val="false"/>
          <w:color w:val="000000"/>
          <w:sz w:val="22"/>
        </w:rPr>
        <w:t>The department may issue an RD&amp;D permit that overrides the applicable portions of this chapter, as listed below, without issuing a variance. A permit amendment from the department for leachate recirculation only does not require an RD&amp;D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an RD&amp;D permit for a new MSWLF unit, existing MSWLF unit, or lateral expansion, for which the owner or operator proposes to utilize innovative and new methods which vary from either or both of the following criteria, provided that the MSWLF unit has a leachate collection system designed and constructed to maintain less than a 30-cm (i.e., 12-inch) depth of leachate on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run-on control systems in subrule </w:t>
      </w:r>
      <w:hyperlink r:id="rId39">
        <w:r>
          <w:rPr>
            <w:rStyle w:val="Hyperlink"/>
            <w:rFonts w:ascii="Times New Roman" w:hAnsi="Times New Roman"/>
            <w:b w:val="false"/>
            <w:i w:val="false"/>
            <w:color w:val="000000"/>
            <w:sz w:val="22"/>
          </w:rPr>
          <w:t>113.7(8)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liquids restrictions in subparagraph </w:t>
      </w:r>
      <w:hyperlink r:id="rId40">
        <w:r>
          <w:rPr>
            <w:rStyle w:val="Hyperlink"/>
            <w:rFonts w:ascii="Times New Roman" w:hAnsi="Times New Roman"/>
            <w:b w:val="false"/>
            <w:i w:val="false"/>
            <w:color w:val="000000"/>
            <w:sz w:val="22"/>
          </w:rPr>
          <w:t>113.8(1)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a permit for a new MSWLF unit, existing MSWLF unit, or lateral expansion, for which the owner or operator proposes to utilize innovative and new methods which vary from the final cover criteria of subrules </w:t>
      </w:r>
      <w:hyperlink r:id="rId41">
        <w:r>
          <w:rPr>
            <w:rStyle w:val="Hyperlink"/>
            <w:rFonts w:ascii="Times New Roman" w:hAnsi="Times New Roman"/>
            <w:b w:val="false"/>
            <w:i w:val="false"/>
            <w:color w:val="000000"/>
            <w:sz w:val="22"/>
          </w:rPr>
          <w:t>113.12(1)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113.12(2)</w:t>
        </w:r>
      </w:hyperlink>
      <w:r>
        <w:rPr>
          <w:rFonts w:ascii="Times New Roman" w:hAnsi="Times New Roman"/>
          <w:b w:val="false"/>
          <w:i w:val="false"/>
          <w:color w:val="000000"/>
          <w:sz w:val="22"/>
        </w:rPr>
        <w:t>, provided that the MSWLF unit owner or operator demonstrates that the infiltration of liquid through the alternative cover system will not cause contamination of groundwater or surface water, or cause leachate depth on the liner to exceed 30 cm (i.e.,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permit issued under subrule </w:t>
      </w:r>
      <w:hyperlink r:id="rId43">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 xml:space="preserve"> must include such terms and conditions at least as protective as the criteria for MSWLFs to ensure protection of human health and the environment. Such permits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for the construction and operation of such facilities as necessary, for not longer than three years, unless renewed as provided in paragraph </w:t>
      </w:r>
      <w:hyperlink r:id="rId44">
        <w:r>
          <w:rPr>
            <w:rStyle w:val="Hyperlink"/>
            <w:rFonts w:ascii="Times New Roman" w:hAnsi="Times New Roman"/>
            <w:b w:val="false"/>
            <w:i w:val="false"/>
            <w:color w:val="000000"/>
            <w:sz w:val="22"/>
          </w:rPr>
          <w:t>113.4(10)</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the MSWLF unit must receive only those types and quantities of municipal solid waste and nonhazardous wastes which the department deems appropriate for the purposes of determining the efficacy and performance capabilities of the technology or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such requirements as necessary to protect human health and the environment, including such requirements as necessary for testing and providing information to the department with respect to the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owner or operator of an MSWLF unit permitted under subrule </w:t>
      </w:r>
      <w:hyperlink r:id="rId45">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 xml:space="preserve"> to submit an annual report to the department showing whether and to what extent the site is progressing in attaining project goals. The report shall also include a summary of all monitoring and testing results, as well as any other operating information specified by the department in the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compliance with all criteria in this chapter, except as permitted under subrule </w:t>
      </w:r>
      <w:hyperlink r:id="rId46">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order an immediate termination of all operations at the facility allowed under subrule </w:t>
      </w:r>
      <w:hyperlink r:id="rId47">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 xml:space="preserve"> or other corrective measures at any time the department determines that the overall goals of the project are not being attained, including protection of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permit issued under subrule </w:t>
      </w:r>
      <w:hyperlink r:id="rId48">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 xml:space="preserve"> shall not exceed 3 years, and each renewal of a permit may not exceed 3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term for a permit for a project including renewals may not exceed 12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permit renewal, the applicant shall provide a detailed assessment of the project showing the status with respect to achieving project goals, a list of problems and the status with respect to problem resolutions, and any other requirements that the department determines necessary for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113.4(11)</w:t>
      </w:r>
      <w:r>
        <w:rPr>
          <w:rFonts w:ascii="Times New Roman" w:hAnsi="Times New Roman"/>
          <w:b w:val="false"/>
          <w:i w:val="false"/>
          <w:color w:val="000000"/>
          <w:sz w:val="22"/>
        </w:rPr>
        <w:t> </w:t>
      </w:r>
      <w:r>
        <w:rPr>
          <w:rFonts w:ascii="Times New Roman" w:hAnsi="Times New Roman"/>
          <w:b w:val="false"/>
          <w:i/>
          <w:color w:val="000000"/>
          <w:sz w:val="22"/>
        </w:rPr>
        <w:t xml:space="preserve">Factors in permit issuance decisions. </w:t>
      </w:r>
      <w:r>
        <w:rPr>
          <w:rFonts w:ascii="Times New Roman" w:hAnsi="Times New Roman"/>
          <w:b w:val="false"/>
          <w:i w:val="false"/>
          <w:color w:val="000000"/>
          <w:sz w:val="22"/>
        </w:rPr>
        <w:t>The department may request that additional information be submitted for review to make a permit issuance decision. The department may review and inspect the facility, its agents and operators, and compliance history. The department may consider compliance with related requirements, such as financial assurance and comprehensive planning. The department may review whether or not a good-faith effort to maintain compliance and protect human health and the environment is being made, and whether a compliance schedule is being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113.4(12)</w:t>
      </w:r>
      <w:r>
        <w:rPr>
          <w:rFonts w:ascii="Times New Roman" w:hAnsi="Times New Roman"/>
          <w:b w:val="false"/>
          <w:i w:val="false"/>
          <w:color w:val="000000"/>
          <w:sz w:val="22"/>
        </w:rPr>
        <w:t> </w:t>
      </w:r>
      <w:r>
        <w:rPr>
          <w:rFonts w:ascii="Times New Roman" w:hAnsi="Times New Roman"/>
          <w:b w:val="false"/>
          <w:i/>
          <w:color w:val="000000"/>
          <w:sz w:val="22"/>
        </w:rPr>
        <w:t xml:space="preserve">Notice and public participation in the MSWLF permit issuance and postpermit actions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“postpermit actions” includes permit renewals and requests for major facility modifications as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 in an MSWLF facility boundary or an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an RD&amp;D permit pursuant to subrule </w:t>
      </w:r>
      <w:hyperlink r:id="rId49">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Installation of a landfill gas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Application for a closure permit for a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Transfer of an MSWLF permit to a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Variance from this chapter under rule </w:t>
      </w:r>
      <w:hyperlink r:id="rId50">
        <w:r>
          <w:rPr>
            <w:rStyle w:val="Hyperlink"/>
            <w:rFonts w:ascii="Times New Roman" w:hAnsi="Times New Roman"/>
            <w:b w:val="false"/>
            <w:i w:val="false"/>
            <w:color w:val="000000"/>
            <w:sz w:val="22"/>
          </w:rPr>
          <w:t>567—113.15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Change in the postclosure land use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significant permit actions that are determined by the department to require public notice and participation. Such actions may include requests to change any of the requirements set forth as special provisions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approval or denial for an MSWLF permit or postpermit action, public notice shall be circulated in a manner designed to inform interested and potentially interested persons of the permit or postpermit action request. Procedures for the circulation of public notice shall include at least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the permit application or postpermit action request, the department shall make a determination of whether public notice is required in accordance with this subrule. If the determination is made that public notice is required, then the department shall prepare the public notice which shall be circulated by the owner or operator within the service area of the MSWLF by posting the public notice near the entrance to the MSWLF; and by publishing the public notice in periodicals or, if appropriate, in a newspaper(s)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public notice shall be mailed by the department to any person upon request and posted on the department’s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period of not less than 30 days following the date of the public notice during which time interested persons may submit their written views with respect to the MWSLF permit application or postpermit action request. All written comments submitted during the 30-day comment period shall be retained by the department and considered by the department in the formulation of the department’s final determinations with respect to the permit application or postpermit action request. The period for comment may be extended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contents of the public notice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each applicant’s activities or operations which result in the submittal of the permit application or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any person may submit written and signed comments, or may request a public hearing, or both, on the proposed permit or postpermit action request. A statement of procedures to request a public hearing pursuant to paragraph </w:t>
      </w:r>
      <w:hyperlink r:id="rId51">
        <w:r>
          <w:rPr>
            <w:rStyle w:val="Hyperlink"/>
            <w:rFonts w:ascii="Times New Roman" w:hAnsi="Times New Roman"/>
            <w:b w:val="false"/>
            <w:i w:val="false"/>
            <w:color w:val="000000"/>
            <w:sz w:val="22"/>
          </w:rPr>
          <w:t>113.4(12)</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or postpermit action request may be reviewed, including the closest department field office, and the times at which the copies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any interested agency, person or group of persons may request or petition for a public hearing with respect to an MSWLF permit application or postpermit action request. Any such request shall clearly state issues and topics to be addressed at the hearing. Any such request or petition for public hearing must be filed with the department within the 30-day period prescribed in paragraph </w:t>
      </w:r>
      <w:hyperlink r:id="rId52">
        <w:r>
          <w:rPr>
            <w:rStyle w:val="Hyperlink"/>
            <w:rFonts w:ascii="Times New Roman" w:hAnsi="Times New Roman"/>
            <w:b w:val="false"/>
            <w:i w:val="false"/>
            <w:color w:val="000000"/>
            <w:sz w:val="22"/>
          </w:rPr>
          <w:t>113.4(12)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shall indicate the interest of the party filing such request and the reasons why a hearing is warranted. The department shall hold an informal and noncontested case hearing if there is a significant public interest (including the filing of requests or petitions for such hearing) in holding such a hearing. Frivolous or insubstantial requests for hearing may be denied by the department. Instances of doubt should be resolved in favor of holding the hearing. Any hearing requested pursuant to this subrule shall be held in the service area of the MSWLF, or other appropriate area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public hearing is warranted, then the department shall prepare the public notice of the hearing. Public notice of any hearing held shall be circulated at least as widely as was the notice of the permit application or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contents of public notice of any hearing held pursuant to paragraph </w:t>
      </w:r>
      <w:hyperlink r:id="rId53">
        <w:r>
          <w:rPr>
            <w:rStyle w:val="Hyperlink"/>
            <w:rFonts w:ascii="Times New Roman" w:hAnsi="Times New Roman"/>
            <w:b w:val="false"/>
            <w:i w:val="false"/>
            <w:color w:val="000000"/>
            <w:sz w:val="22"/>
          </w:rPr>
          <w:t>113.4(12)</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 whose application will be considered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reference to the public notice issued for each permit application and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time and location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purpose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issues raised by the person requesting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or postpermit action may be reviewed, including the closest department field office, and the times at which the copies shall be available for public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nature of the hearing, including the rules and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shall keep a record of the commenters and of the issues raised during the public participation process and shall prepare written responses to all comments received. At the time a final decision is made, the record and copies of the department’s responses shall be made available to the public.</w:t>
      </w:r>
    </w:p>
    <w:p>
      <w:pPr>
        <w:spacing w:before="0" w:after="0"/>
        <w:ind w:left="120"/>
        <w:jc w:val="both"/>
      </w:pPr>
      <w:r>
        <w:rPr>
          <w:rFonts w:ascii="Times New Roman" w:hAnsi="Times New Roman"/>
          <w:b/>
          <w:i w:val="false"/>
          <w:color w:val="000000"/>
          <w:sz w:val="22"/>
        </w:rPr>
        <w:t>567—113.5</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val="false"/>
          <w:color w:val="000000"/>
          <w:sz w:val="22"/>
        </w:rPr>
        <w:t>Unless otherwise authorized by the department, an MSWLF permit applicant shall submit, at a minimum, the following permit application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 of the site where the facility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Certified operator (i.e., “operator”) responsible for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Professional engineer(s) (P.E.) licensed in the state of Iowa and retained for the design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facility,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organizational chart.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site exploration and characterization report for the facility that complies with the requirements of subrule </w:t>
      </w:r>
      <w:hyperlink r:id="rId54">
        <w:r>
          <w:rPr>
            <w:rStyle w:val="Hyperlink"/>
            <w:rFonts w:ascii="Times New Roman" w:hAnsi="Times New Roman"/>
            <w:b w:val="false"/>
            <w:i w:val="false"/>
            <w:color w:val="000000"/>
            <w:sz w:val="22"/>
          </w:rPr>
          <w:t>113.6(4)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and specifications for the facility, and quality control and assurance (QC&amp;A) plans, that comply with the requirements of subrule </w:t>
      </w:r>
      <w:hyperlink r:id="rId55">
        <w:r>
          <w:rPr>
            <w:rStyle w:val="Hyperlink"/>
            <w:rFonts w:ascii="Times New Roman" w:hAnsi="Times New Roman"/>
            <w:b w:val="false"/>
            <w:i w:val="false"/>
            <w:color w:val="000000"/>
            <w:sz w:val="22"/>
          </w:rPr>
          <w:t>113.7(6)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development and operations (DOPs) plan for the facility, an emergency response and remedial action plan (ERRAP), and proof of MSWLF operator certification that comply with the requirements of rule </w:t>
      </w:r>
      <w:hyperlink r:id="rId56">
        <w:r>
          <w:rPr>
            <w:rStyle w:val="Hyperlink"/>
            <w:rFonts w:ascii="Times New Roman" w:hAnsi="Times New Roman"/>
            <w:b w:val="false"/>
            <w:i w:val="false"/>
            <w:color w:val="000000"/>
            <w:sz w:val="22"/>
          </w:rPr>
          <w:t>567—113.8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environmental monitoring plan that complies with the requirements of rules </w:t>
      </w:r>
      <w:hyperlink r:id="rId57">
        <w:r>
          <w:rPr>
            <w:rStyle w:val="Hyperlink"/>
            <w:rFonts w:ascii="Times New Roman" w:hAnsi="Times New Roman"/>
            <w:b w:val="false"/>
            <w:i w:val="false"/>
            <w:color w:val="000000"/>
            <w:sz w:val="22"/>
          </w:rPr>
          <w:t>567—113.9</w:t>
        </w:r>
      </w:hyperlink>
      <w:r>
        <w:rPr>
          <w:rFonts w:ascii="Times New Roman" w:hAnsi="Times New Roman"/>
          <w:b w:val="false"/>
          <w:i w:val="false"/>
          <w:color w:val="000000"/>
          <w:sz w:val="22"/>
        </w:rPr>
        <w:t xml:space="preserve">(455B) and </w:t>
      </w:r>
      <w:hyperlink r:id="rId58">
        <w:r>
          <w:rPr>
            <w:rStyle w:val="Hyperlink"/>
            <w:rFonts w:ascii="Times New Roman" w:hAnsi="Times New Roman"/>
            <w:b w:val="false"/>
            <w:i w:val="false"/>
            <w:color w:val="000000"/>
            <w:sz w:val="22"/>
          </w:rPr>
          <w:t>567—113.10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goals and time lines, and other documentation as necessary to comply with subrule </w:t>
      </w:r>
      <w:hyperlink r:id="rId59">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 xml:space="preserve"> and other requirements of the department if an RD&amp;D permit is being requested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assurance in compliance with rule </w:t>
      </w:r>
      <w:hyperlink r:id="rId60">
        <w:r>
          <w:rPr>
            <w:rStyle w:val="Hyperlink"/>
            <w:rFonts w:ascii="Times New Roman" w:hAnsi="Times New Roman"/>
            <w:b w:val="false"/>
            <w:i w:val="false"/>
            <w:color w:val="000000"/>
            <w:sz w:val="22"/>
          </w:rPr>
          <w:t>567—113.14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closure and postclosure plan that complies with the requirements of rules </w:t>
      </w:r>
      <w:hyperlink r:id="rId61">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 xml:space="preserve">(455B) and </w:t>
      </w:r>
      <w:hyperlink r:id="rId62">
        <w:r>
          <w:rPr>
            <w:rStyle w:val="Hyperlink"/>
            <w:rFonts w:ascii="Times New Roman" w:hAnsi="Times New Roman"/>
            <w:b w:val="false"/>
            <w:i w:val="false"/>
            <w:color w:val="000000"/>
            <w:sz w:val="22"/>
          </w:rPr>
          <w:t>567—113.13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val="false"/>
          <w:color w:val="000000"/>
          <w:sz w:val="22"/>
        </w:rPr>
        <w:t>Incomplete permit applications. If the department finds the permit application information to be incomplete, the department shall notify the applicant of that fact and of the specific deficiencies. If the applicant fails to correct the noted deficiencies within 30 days, the department may reject the application and return the application materials to the applicant. The applicant may reapply without prejudice.</w:t>
      </w:r>
    </w:p>
    <w:p>
      <w:pPr>
        <w:spacing w:before="0" w:after="0"/>
        <w:ind w:left="120"/>
        <w:jc w:val="both"/>
      </w:pPr>
      <w:r>
        <w:rPr>
          <w:rFonts w:ascii="Times New Roman" w:hAnsi="Times New Roman"/>
          <w:b/>
          <w:i w:val="false"/>
          <w:color w:val="000000"/>
          <w:sz w:val="22"/>
        </w:rPr>
        <w:t>567—113.6</w:t>
      </w:r>
      <w:r>
        <w:rPr>
          <w:rFonts w:ascii="Times New Roman" w:hAnsi="Times New Roman"/>
          <w:b/>
          <w:i w:val="false"/>
          <w:color w:val="000000"/>
          <w:sz w:val="22"/>
        </w:rPr>
        <w:t xml:space="preserve">(455B) </w:t>
      </w:r>
      <w:r>
        <w:rPr>
          <w:rFonts w:ascii="Times New Roman" w:hAnsi="Times New Roman"/>
          <w:b/>
          <w:i w:val="false"/>
          <w:color w:val="000000"/>
          <w:sz w:val="22"/>
        </w:rPr>
        <w:t xml:space="preserve">Siting and location requirements for MSWLFs. </w:t>
      </w:r>
      <w:r>
        <w:rPr>
          <w:rFonts w:ascii="Times New Roman" w:hAnsi="Times New Roman"/>
          <w:b w:val="false"/>
          <w:i w:val="false"/>
          <w:color w:val="000000"/>
          <w:sz w:val="22"/>
        </w:rPr>
        <w:t xml:space="preserve">This rule applies to new MSWLF units and horizontal expansions of existing MSWLF units. Except for paragraphs </w:t>
      </w:r>
      <w:hyperlink r:id="rId63">
        <w:r>
          <w:rPr>
            <w:rStyle w:val="Hyperlink"/>
            <w:rFonts w:ascii="Times New Roman" w:hAnsi="Times New Roman"/>
            <w:b w:val="false"/>
            <w:i w:val="false"/>
            <w:color w:val="000000"/>
            <w:sz w:val="22"/>
          </w:rPr>
          <w:t>113.6(2)</w:t>
        </w:r>
      </w:hyperlink>
      <w:r>
        <w:rPr>
          <w:rFonts w:ascii="Times New Roman" w:hAnsi="Times New Roman"/>
          <w:b w:val="false"/>
          <w:i/>
          <w:color w:val="000000"/>
          <w:sz w:val="22"/>
        </w:rPr>
        <w:t>“a,”</w:t>
      </w:r>
      <w:hyperlink r:id="rId64">
        <w:r>
          <w:rPr>
            <w:rStyle w:val="Hyperlink"/>
            <w:rFonts w:ascii="Times New Roman" w:hAnsi="Times New Roman"/>
            <w:b w:val="false"/>
            <w:i w:val="false"/>
            <w:color w:val="000000"/>
            <w:sz w:val="22"/>
          </w:rPr>
          <w:t>113.6(2)</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113.6(2)</w:t>
        </w:r>
      </w:hyperlink>
      <w:r>
        <w:rPr>
          <w:rFonts w:ascii="Times New Roman" w:hAnsi="Times New Roman"/>
          <w:b w:val="false"/>
          <w:i/>
          <w:color w:val="000000"/>
          <w:sz w:val="22"/>
        </w:rPr>
        <w:t>“f,”</w:t>
      </w:r>
      <w:r>
        <w:rPr>
          <w:rFonts w:ascii="Times New Roman" w:hAnsi="Times New Roman"/>
          <w:b w:val="false"/>
          <w:i w:val="false"/>
          <w:color w:val="000000"/>
          <w:sz w:val="22"/>
        </w:rPr>
        <w:t xml:space="preserve"> this rule does not apply to permitted MSWLF units which have been approved prior to October 1, 2007. Information required to document compliance with the requirements of rule </w:t>
      </w:r>
      <w:hyperlink r:id="rId66">
        <w:r>
          <w:rPr>
            <w:rStyle w:val="Hyperlink"/>
            <w:rFonts w:ascii="Times New Roman" w:hAnsi="Times New Roman"/>
            <w:b w:val="false"/>
            <w:i w:val="false"/>
            <w:color w:val="000000"/>
            <w:sz w:val="22"/>
          </w:rPr>
          <w:t>567—113.6</w:t>
        </w:r>
      </w:hyperlink>
      <w:r>
        <w:rPr>
          <w:rFonts w:ascii="Times New Roman" w:hAnsi="Times New Roman"/>
          <w:b w:val="false"/>
          <w:i w:val="false"/>
          <w:color w:val="000000"/>
          <w:sz w:val="22"/>
        </w:rPr>
        <w:t xml:space="preserve">(455B) shall be consolidated and maintained in a site exploration and characterization report pursuant to subrule </w:t>
      </w:r>
      <w:hyperlink r:id="rId67">
        <w:r>
          <w:rPr>
            <w:rStyle w:val="Hyperlink"/>
            <w:rFonts w:ascii="Times New Roman" w:hAnsi="Times New Roman"/>
            <w:b w:val="false"/>
            <w:i w:val="false"/>
            <w:color w:val="000000"/>
            <w:sz w:val="22"/>
          </w:rPr>
          <w:t>113.6(4)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113.6(1)</w:t>
      </w:r>
      <w:r>
        <w:rPr>
          <w:rFonts w:ascii="Times New Roman" w:hAnsi="Times New Roman"/>
          <w:b w:val="false"/>
          <w:i w:val="false"/>
          <w:color w:val="000000"/>
          <w:sz w:val="22"/>
        </w:rPr>
        <w:t> </w:t>
      </w:r>
      <w:r>
        <w:rPr>
          <w:rFonts w:ascii="Times New Roman" w:hAnsi="Times New Roman"/>
          <w:b w:val="false"/>
          <w:i/>
          <w:color w:val="000000"/>
          <w:sz w:val="22"/>
        </w:rPr>
        <w:t xml:space="preserve">Local siting approval. </w:t>
      </w:r>
      <w:r>
        <w:rPr>
          <w:rFonts w:ascii="Times New Roman" w:hAnsi="Times New Roman"/>
          <w:b w:val="false"/>
          <w:i w:val="false"/>
          <w:color w:val="000000"/>
          <w:sz w:val="22"/>
        </w:rPr>
        <w:t xml:space="preserve">The department will not consider a permit application for a new MSWLF unless local siting approval pursuant to Iowa Code section </w:t>
      </w:r>
      <w:hyperlink r:id="rId68">
        <w:r>
          <w:rPr>
            <w:rStyle w:val="Hyperlink"/>
            <w:rFonts w:ascii="Times New Roman" w:hAnsi="Times New Roman"/>
            <w:b w:val="false"/>
            <w:i w:val="false"/>
            <w:color w:val="000000"/>
            <w:sz w:val="22"/>
          </w:rPr>
          <w:t>455B.305A</w:t>
        </w:r>
      </w:hyperlink>
      <w:r>
        <w:rPr>
          <w:rFonts w:ascii="Times New Roman" w:hAnsi="Times New Roman"/>
          <w:b w:val="false"/>
          <w:i w:val="false"/>
          <w:color w:val="000000"/>
          <w:sz w:val="22"/>
        </w:rPr>
        <w:t>, if applicable,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113.6(2)</w:t>
      </w:r>
      <w:r>
        <w:rPr>
          <w:rFonts w:ascii="Times New Roman" w:hAnsi="Times New Roman"/>
          <w:b w:val="false"/>
          <w:i w:val="false"/>
          <w:color w:val="000000"/>
          <w:sz w:val="22"/>
        </w:rPr>
        <w:t> </w:t>
      </w:r>
      <w:r>
        <w:rPr>
          <w:rFonts w:ascii="Times New Roman" w:hAnsi="Times New Roman"/>
          <w:b w:val="false"/>
          <w:i/>
          <w:color w:val="000000"/>
          <w:sz w:val="22"/>
        </w:rPr>
        <w:t xml:space="preserve">Location restrictions. </w:t>
      </w:r>
      <w:r>
        <w:rPr>
          <w:rFonts w:ascii="Times New Roman" w:hAnsi="Times New Roman"/>
          <w:b w:val="false"/>
          <w:i w:val="false"/>
          <w:color w:val="000000"/>
          <w:sz w:val="22"/>
        </w:rPr>
        <w:t>All MSWLFs shall comply with the following location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Airports.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color w:val="000000"/>
          <w:sz w:val="22"/>
        </w:rPr>
        <w:t>“Airport”</w:t>
      </w:r>
      <w:r>
        <w:rPr>
          <w:rFonts w:ascii="Times New Roman" w:hAnsi="Times New Roman"/>
          <w:b w:val="false"/>
          <w:i w:val="false"/>
          <w:color w:val="000000"/>
          <w:sz w:val="22"/>
        </w:rPr>
        <w:t xml:space="preserve"> means public-use airport open to the public without prior permission and without restrictions within the physical capacities of available facilities.</w:t>
      </w:r>
    </w:p>
    <w:p>
      <w:pPr>
        <w:spacing w:before="0" w:after="0"/>
        <w:ind w:left="120"/>
        <w:jc w:val="both"/>
      </w:pPr>
      <w:r>
        <w:rPr>
          <w:rFonts w:ascii="Times New Roman" w:hAnsi="Times New Roman"/>
          <w:b w:val="false"/>
          <w:i/>
          <w:color w:val="000000"/>
          <w:sz w:val="22"/>
        </w:rPr>
        <w:t>“Bird hazard”</w:t>
      </w:r>
      <w:r>
        <w:rPr>
          <w:rFonts w:ascii="Times New Roman" w:hAnsi="Times New Roman"/>
          <w:b w:val="false"/>
          <w:i w:val="false"/>
          <w:color w:val="000000"/>
          <w:sz w:val="22"/>
        </w:rPr>
        <w:t xml:space="preserve"> means an increase in the likelihood of bird-aircraft collisions that may cause damage to the aircraft or injury to its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prohibition on locating a new MSWLF near certain airports was enacted in Section 503 of the Wendell H. Ford Aviation Investment and Reform Act for the 21st Century (Ford Act), Pub. L. 106-181 (49 U.S.C. 44718 note). Section 503 prohibits the “construction or establishment” of new MSWLFs after April 5, 2000, within six miles of certain smaller public airports. The Federal Aviation Administration (FAA) administers the Ford Act and has issued guidance in FAA Advisory Circular 150/5200-34A, dated January 26,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new MSWLF units, existing MSWLF units, and lateral expansions that are located within 10,000 feet (3,048 meters) of any airport runway end used by turbojet aircraft or within 5,000 feet (1,524 meters) of any airport runway end used by piston-type aircraft only must demonstrate to the FAA that the units are designed and operated so that the MSWLF unit does not pose a bird hazard to aircraft. The owner or operator must place the demonstration of this requirement in the operating record and submit to the department a copy of the demonstration approved by the FAA.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Owners or operators proposing to site new MSWLF units and lateral expansions within a five-mile radius of any airport runway end used by turbojet or piston-type aircraft must notify the affected airport and the FAA. A copy of these notifications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color w:val="000000"/>
          <w:sz w:val="22"/>
        </w:rPr>
        <w:t>“Floodplain”</w:t>
      </w:r>
      <w:r>
        <w:rPr>
          <w:rFonts w:ascii="Times New Roman" w:hAnsi="Times New Roman"/>
          <w:b w:val="false"/>
          <w:i w:val="false"/>
          <w:color w:val="000000"/>
          <w:sz w:val="22"/>
        </w:rPr>
        <w:t xml:space="preserve"> means the lowland and relatively flat areas adjoining inland and coastal waters, including flood-prone areas of offshore islands that may be inundated by a 100-year flood.</w:t>
      </w:r>
    </w:p>
    <w:p>
      <w:pPr>
        <w:spacing w:before="0" w:after="0"/>
        <w:ind w:left="120"/>
        <w:jc w:val="both"/>
      </w:pPr>
      <w:r>
        <w:rPr>
          <w:rFonts w:ascii="Times New Roman" w:hAnsi="Times New Roman"/>
          <w:b w:val="false"/>
          <w:i/>
          <w:color w:val="000000"/>
          <w:sz w:val="22"/>
        </w:rPr>
        <w:t>“100-year flood”</w:t>
      </w:r>
      <w:r>
        <w:rPr>
          <w:rFonts w:ascii="Times New Roman" w:hAnsi="Times New Roman"/>
          <w:b w:val="false"/>
          <w:i w:val="false"/>
          <w:color w:val="000000"/>
          <w:sz w:val="22"/>
        </w:rPr>
        <w:t xml:space="preserve"> means a flood that has a 1 percent or greater chance of recurring in any given year or a flood of a magnitude equaled or exceeded once in 100 years on the average over a significantly long period.</w:t>
      </w:r>
    </w:p>
    <w:p>
      <w:pPr>
        <w:spacing w:before="0" w:after="0"/>
        <w:ind w:left="120"/>
        <w:jc w:val="both"/>
      </w:pPr>
      <w:r>
        <w:rPr>
          <w:rFonts w:ascii="Times New Roman" w:hAnsi="Times New Roman"/>
          <w:b w:val="false"/>
          <w:i/>
          <w:color w:val="000000"/>
          <w:sz w:val="22"/>
        </w:rPr>
        <w:t>“Washout”</w:t>
      </w:r>
      <w:r>
        <w:rPr>
          <w:rFonts w:ascii="Times New Roman" w:hAnsi="Times New Roman"/>
          <w:b w:val="false"/>
          <w:i w:val="false"/>
          <w:color w:val="000000"/>
          <w:sz w:val="22"/>
        </w:rPr>
        <w:t xml:space="preserve"> means the carrying away of solid waste by waters of the base flood.</w:t>
      </w:r>
    </w:p>
    <w:p>
      <w:pPr>
        <w:spacing w:before="0" w:after="0"/>
        <w:ind w:left="120"/>
        <w:jc w:val="both"/>
      </w:pPr>
      <w:r>
        <w:rPr>
          <w:rFonts w:ascii="Times New Roman" w:hAnsi="Times New Roman"/>
          <w:b w:val="false"/>
          <w:i w:val="false"/>
          <w:color w:val="000000"/>
          <w:sz w:val="22"/>
        </w:rPr>
        <w:t>Owners or operators of new MSWLF units, existing MSWLF units, and lateral expansions located in 100-year floodplains must demonstrate to the department that the unit will not restrict the flow of the 100-year flood, reduce the temporary water storage capacity of the floodplain, or result in washout of solid waste so as to pose a hazard to human health and the environment. The owner or operator must place the demonstration in the operating record and submit a copy of the demonstration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Wetlands.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color w:val="000000"/>
          <w:sz w:val="22"/>
        </w:rPr>
        <w:t>“Wetlands”</w:t>
      </w:r>
      <w:r>
        <w:rPr>
          <w:rFonts w:ascii="Times New Roman" w:hAnsi="Times New Roman"/>
          <w:b w:val="false"/>
          <w:i w:val="false"/>
          <w:color w:val="000000"/>
          <w:sz w:val="22"/>
        </w:rPr>
        <w:t xml:space="preserve"> means those areas that are inundated or saturated by surface water or groundwater at a frequency and duration sufficient to support, and that under normal circumstances do support, a prevalence of vegetation typically adapted for life in saturated soil conditions. Wetlands generally include swamps, marshes, bogs, and similar areas.</w:t>
      </w:r>
    </w:p>
    <w:p>
      <w:pPr>
        <w:spacing w:before="0" w:after="0"/>
        <w:ind w:left="120"/>
        <w:jc w:val="both"/>
      </w:pPr>
      <w:r>
        <w:rPr>
          <w:rFonts w:ascii="Times New Roman" w:hAnsi="Times New Roman"/>
          <w:b w:val="false"/>
          <w:i w:val="false"/>
          <w:color w:val="000000"/>
          <w:sz w:val="22"/>
        </w:rPr>
        <w:t>New MSWLF units and lateral expansions shall not be located in wetlands, unless the owner or operator can make the following demonstrations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applicable under Section 404 of the Clean Water Act or applicable state wetlands laws, the presumption that a practicable alternative to the proposed landfill is available which does not involve wetlands is clearly rebutted;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construction and operation of the MSWLF unit will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Cause or contribute to violations of any applicable state water quality standard;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Violate any applicable toxic effluent standard or prohibition under Section 307 of the Clean Water Act;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Jeopardize the continued existence of endangered or threatened species or result in the destruction or adverse modification of a critical habitat protected under the Endangered Species Act of 1973;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Violate any requirement under the Marine Protection, Research, and Sanctuaries Act of 1972 for the protection of a marine sanctuary;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MSWLF unit will not cause or contribute to significant degradation of wetlands. The owner or operator must demonstrate the integrity of the MSWLF unit and its ability to protect ecological resources by addressing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Erosion, stability, and migration potential of native wetland soils, muds and deposits used to support the MSWLF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Erosion, stability, and migration potential of dredged and fill materials used to support the MSWLF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volume and chemical nature of the waste managed in the MSWLF unit;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Impacts on fish, wildlife, and other aquatic resources and their habitats from release of the solid waste;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potential effects of catastrophic release of waste to wetlands and the resulting impacts on the environment;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additional factors, as necessary, to demonstrate that ecological resources in the wetland are sufficiently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required under Section 404 of the Clean Water Act or applicable state wetlands laws, steps have been taken to attempt to achieve no net loss of wetlands (as defined by acreage and function) by first avoiding impacts to wetlands to the maximum extent practicable as required by subparagraph </w:t>
      </w:r>
      <w:hyperlink r:id="rId69">
        <w:r>
          <w:rPr>
            <w:rStyle w:val="Hyperlink"/>
            <w:rFonts w:ascii="Times New Roman" w:hAnsi="Times New Roman"/>
            <w:b w:val="false"/>
            <w:i w:val="false"/>
            <w:color w:val="000000"/>
            <w:sz w:val="22"/>
          </w:rPr>
          <w:t>113.6(2)</w:t>
        </w:r>
      </w:hyperlink>
      <w:r>
        <w:rPr>
          <w:rFonts w:ascii="Times New Roman" w:hAnsi="Times New Roman"/>
          <w:b w:val="false"/>
          <w:i/>
          <w:color w:val="000000"/>
          <w:sz w:val="22"/>
        </w:rPr>
        <w:t>“c”</w:t>
      </w:r>
      <w:r>
        <w:rPr>
          <w:rFonts w:ascii="Times New Roman" w:hAnsi="Times New Roman"/>
          <w:b w:val="false"/>
          <w:i w:val="false"/>
          <w:color w:val="000000"/>
          <w:sz w:val="22"/>
        </w:rPr>
        <w:t xml:space="preserve">(1), then minimizing unavoidable impacts to the maximum extent practicable, and finally offsetting remaining unavoidable wetland impacts through all appropriate and practicable compensatory mitigation actions (e.g., restoration of existing degraded wetlands or creation of human-made wetlands);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Sufficient information is available to make a reasonable determination with respect to these demonstrations.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Fault areas. </w:t>
      </w:r>
      <w:r>
        <w:rPr>
          <w:rFonts w:ascii="Times New Roman" w:hAnsi="Times New Roman"/>
          <w:b w:val="false"/>
          <w:i w:val="false"/>
          <w:color w:val="000000"/>
          <w:sz w:val="22"/>
        </w:rPr>
        <w:t>For the purposes of this chapter:</w:t>
      </w:r>
    </w:p>
    <w:p>
      <w:pPr>
        <w:spacing w:before="0" w:after="0"/>
        <w:ind w:left="120"/>
        <w:jc w:val="both"/>
      </w:pPr>
      <w:r>
        <w:rPr>
          <w:rFonts w:ascii="Times New Roman" w:hAnsi="Times New Roman"/>
          <w:b w:val="false"/>
          <w:i/>
          <w:color w:val="000000"/>
          <w:sz w:val="22"/>
        </w:rPr>
        <w:t>“Fault”</w:t>
      </w:r>
      <w:r>
        <w:rPr>
          <w:rFonts w:ascii="Times New Roman" w:hAnsi="Times New Roman"/>
          <w:b w:val="false"/>
          <w:i w:val="false"/>
          <w:color w:val="000000"/>
          <w:sz w:val="22"/>
        </w:rPr>
        <w:t xml:space="preserve"> means a fracture or a zone of fractures in any material along which strata on one side have been displaced with respect to that on the other side.</w:t>
      </w:r>
    </w:p>
    <w:p>
      <w:pPr>
        <w:spacing w:before="0" w:after="0"/>
        <w:ind w:left="120"/>
        <w:jc w:val="both"/>
      </w:pPr>
      <w:r>
        <w:rPr>
          <w:rFonts w:ascii="Times New Roman" w:hAnsi="Times New Roman"/>
          <w:b w:val="false"/>
          <w:i/>
          <w:color w:val="000000"/>
          <w:sz w:val="22"/>
        </w:rPr>
        <w:t>“Displacement”</w:t>
      </w:r>
      <w:r>
        <w:rPr>
          <w:rFonts w:ascii="Times New Roman" w:hAnsi="Times New Roman"/>
          <w:b w:val="false"/>
          <w:i w:val="false"/>
          <w:color w:val="000000"/>
          <w:sz w:val="22"/>
        </w:rPr>
        <w:t xml:space="preserve"> means the relative movement of any two sides of a fault measured in any direction.</w:t>
      </w:r>
    </w:p>
    <w:p>
      <w:pPr>
        <w:spacing w:before="0" w:after="0"/>
        <w:ind w:left="120"/>
        <w:jc w:val="both"/>
      </w:pPr>
      <w:r>
        <w:rPr>
          <w:rFonts w:ascii="Times New Roman" w:hAnsi="Times New Roman"/>
          <w:b w:val="false"/>
          <w:i/>
          <w:color w:val="000000"/>
          <w:sz w:val="22"/>
        </w:rPr>
        <w:t>“Holocene”</w:t>
      </w:r>
      <w:r>
        <w:rPr>
          <w:rFonts w:ascii="Times New Roman" w:hAnsi="Times New Roman"/>
          <w:b w:val="false"/>
          <w:i w:val="false"/>
          <w:color w:val="000000"/>
          <w:sz w:val="22"/>
        </w:rPr>
        <w:t xml:space="preserve"> means the most recent epoch of the Quaternary Period, extending from the end of the Pleistocene Epoch to the present.</w:t>
      </w:r>
    </w:p>
    <w:p>
      <w:pPr>
        <w:spacing w:before="0" w:after="0"/>
        <w:ind w:left="120"/>
        <w:jc w:val="both"/>
      </w:pPr>
      <w:r>
        <w:rPr>
          <w:rFonts w:ascii="Times New Roman" w:hAnsi="Times New Roman"/>
          <w:b w:val="false"/>
          <w:i w:val="false"/>
          <w:color w:val="000000"/>
          <w:sz w:val="22"/>
        </w:rPr>
        <w:t>New MSWLF units and lateral expansions shall not be located within 200 feet (60 meters) of a fault that has had displacement in Holocene time unless the owner or operator demonstrates to the department that an alternative setback distance of less than 200 feet (60 meters) will prevent damage to the structural integrity of the MSWLF unit and will 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Seismic impact zones. </w:t>
      </w:r>
      <w:r>
        <w:rPr>
          <w:rFonts w:ascii="Times New Roman" w:hAnsi="Times New Roman"/>
          <w:b w:val="false"/>
          <w:i w:val="false"/>
          <w:color w:val="000000"/>
          <w:sz w:val="22"/>
        </w:rPr>
        <w:t>For the purposes of this chapter:</w:t>
      </w:r>
    </w:p>
    <w:p>
      <w:pPr>
        <w:spacing w:before="0" w:after="0"/>
        <w:ind w:left="120"/>
        <w:jc w:val="both"/>
      </w:pPr>
      <w:r>
        <w:rPr>
          <w:rFonts w:ascii="Times New Roman" w:hAnsi="Times New Roman"/>
          <w:b w:val="false"/>
          <w:i/>
          <w:color w:val="000000"/>
          <w:sz w:val="22"/>
        </w:rPr>
        <w:t>“Seismic impact zone”</w:t>
      </w:r>
      <w:r>
        <w:rPr>
          <w:rFonts w:ascii="Times New Roman" w:hAnsi="Times New Roman"/>
          <w:b w:val="false"/>
          <w:i w:val="false"/>
          <w:color w:val="000000"/>
          <w:sz w:val="22"/>
        </w:rPr>
        <w:t xml:space="preserve"> means an area with a 10 percent or greater probability that the maximum horizontal acceleration in lithified earth material, expressed as a percentage of the earth’s gravitational pull (g), will exceed 0.10g in 250 years.</w:t>
      </w:r>
    </w:p>
    <w:p>
      <w:pPr>
        <w:spacing w:before="0" w:after="0"/>
        <w:ind w:left="120"/>
        <w:jc w:val="both"/>
      </w:pPr>
      <w:r>
        <w:rPr>
          <w:rFonts w:ascii="Times New Roman" w:hAnsi="Times New Roman"/>
          <w:b w:val="false"/>
          <w:i/>
          <w:color w:val="000000"/>
          <w:sz w:val="22"/>
        </w:rPr>
        <w:t>“Maximum horizontal acceleration in lithified earth material”</w:t>
      </w:r>
      <w:r>
        <w:rPr>
          <w:rFonts w:ascii="Times New Roman" w:hAnsi="Times New Roman"/>
          <w:b w:val="false"/>
          <w:i w:val="false"/>
          <w:color w:val="000000"/>
          <w:sz w:val="22"/>
        </w:rPr>
        <w:t xml:space="preserve"> means the maximum expected horizontal acceleration depicted on a seismic hazard map, with a 90 percent or greater probability that the acceleration will not be exceeded in 250 years, or the maximum expected horizontal acceleration based on a site-specific seismic risk assessment.</w:t>
      </w:r>
    </w:p>
    <w:p>
      <w:pPr>
        <w:spacing w:before="0" w:after="0"/>
        <w:ind w:left="120"/>
        <w:jc w:val="both"/>
      </w:pPr>
      <w:r>
        <w:rPr>
          <w:rFonts w:ascii="Times New Roman" w:hAnsi="Times New Roman"/>
          <w:b w:val="false"/>
          <w:i/>
          <w:color w:val="000000"/>
          <w:sz w:val="22"/>
        </w:rPr>
        <w:t>“Lithified earth material”</w:t>
      </w:r>
      <w:r>
        <w:rPr>
          <w:rFonts w:ascii="Times New Roman" w:hAnsi="Times New Roman"/>
          <w:b w:val="false"/>
          <w:i w:val="false"/>
          <w:color w:val="000000"/>
          <w:sz w:val="22"/>
        </w:rPr>
        <w:t xml:space="preserve"> means all rock, including all naturally occurring and naturally formed aggregates or masses of minerals or small particles of older rock that formed by crystallization of magma or by induration of loose sediments. “Lithified earth material” does not include human-made materials, such as fill, concrete, and asphalt, or unconsolidated earth materials, soil, or regolith lying at or near the earth’s surface.</w:t>
      </w:r>
    </w:p>
    <w:p>
      <w:pPr>
        <w:spacing w:before="0" w:after="0"/>
        <w:ind w:left="120"/>
        <w:jc w:val="both"/>
      </w:pPr>
      <w:r>
        <w:rPr>
          <w:rFonts w:ascii="Times New Roman" w:hAnsi="Times New Roman"/>
          <w:b w:val="false"/>
          <w:i w:val="false"/>
          <w:color w:val="000000"/>
          <w:sz w:val="22"/>
        </w:rPr>
        <w:t>New MSWLF units and lateral expansions shall not be located in seismic impact zones, unless the owner or operator demonstrates to the department that all containment structures, including liners, leachate collection systems, and surface water control systems, are designed to resist the maximum horizontal acceleration in lithified earth material for the site. The owner or operator must place the demonstration in the operating record and submit a copy of the demonstration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Unstable areas.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color w:val="000000"/>
          <w:sz w:val="22"/>
        </w:rPr>
        <w:t>“Unstable area”</w:t>
      </w:r>
      <w:r>
        <w:rPr>
          <w:rFonts w:ascii="Times New Roman" w:hAnsi="Times New Roman"/>
          <w:b w:val="false"/>
          <w:i w:val="false"/>
          <w:color w:val="000000"/>
          <w:sz w:val="22"/>
        </w:rPr>
        <w:t xml:space="preserve"> means a location that is susceptible to natural or human-induced events or forces capable of impairing the integrity of some or all of the landfill structural components responsible for preventing releases from a landfill. Unstable areas may include poor foundation conditions, areas susceptible to mass movements, and karst terranes.</w:t>
      </w:r>
    </w:p>
    <w:p>
      <w:pPr>
        <w:spacing w:before="0" w:after="0"/>
        <w:ind w:left="120"/>
        <w:jc w:val="both"/>
      </w:pPr>
      <w:r>
        <w:rPr>
          <w:rFonts w:ascii="Times New Roman" w:hAnsi="Times New Roman"/>
          <w:b w:val="false"/>
          <w:i/>
          <w:color w:val="000000"/>
          <w:sz w:val="22"/>
        </w:rPr>
        <w:t>“Structural components”</w:t>
      </w:r>
      <w:r>
        <w:rPr>
          <w:rFonts w:ascii="Times New Roman" w:hAnsi="Times New Roman"/>
          <w:b w:val="false"/>
          <w:i w:val="false"/>
          <w:color w:val="000000"/>
          <w:sz w:val="22"/>
        </w:rPr>
        <w:t xml:space="preserve"> means liners, leachate collection systems, final covers, run-on systems, runoff systems, and any other component used in the construction and operation of the MSWLF that is necessary for protection of human health and the environment.</w:t>
      </w:r>
    </w:p>
    <w:p>
      <w:pPr>
        <w:spacing w:before="0" w:after="0"/>
        <w:ind w:left="120"/>
        <w:jc w:val="both"/>
      </w:pPr>
      <w:r>
        <w:rPr>
          <w:rFonts w:ascii="Times New Roman" w:hAnsi="Times New Roman"/>
          <w:b w:val="false"/>
          <w:i/>
          <w:color w:val="000000"/>
          <w:sz w:val="22"/>
        </w:rPr>
        <w:t>“Poor foundation conditions”</w:t>
      </w:r>
      <w:r>
        <w:rPr>
          <w:rFonts w:ascii="Times New Roman" w:hAnsi="Times New Roman"/>
          <w:b w:val="false"/>
          <w:i w:val="false"/>
          <w:color w:val="000000"/>
          <w:sz w:val="22"/>
        </w:rPr>
        <w:t xml:space="preserve"> means those areas where features exist which indicate that a natural or human-induced event may result in inadequate foundation support for the structural components of an MSWLF unit.</w:t>
      </w:r>
    </w:p>
    <w:p>
      <w:pPr>
        <w:spacing w:before="0" w:after="0"/>
        <w:ind w:left="120"/>
        <w:jc w:val="both"/>
      </w:pPr>
      <w:r>
        <w:rPr>
          <w:rFonts w:ascii="Times New Roman" w:hAnsi="Times New Roman"/>
          <w:b w:val="false"/>
          <w:i/>
          <w:color w:val="000000"/>
          <w:sz w:val="22"/>
        </w:rPr>
        <w:t>“Areas susceptible to mass movement”</w:t>
      </w:r>
      <w:r>
        <w:rPr>
          <w:rFonts w:ascii="Times New Roman" w:hAnsi="Times New Roman"/>
          <w:b w:val="false"/>
          <w:i w:val="false"/>
          <w:color w:val="000000"/>
          <w:sz w:val="22"/>
        </w:rPr>
        <w:t xml:space="preserve"> means those areas of influence (i.e., areas characterized as having an active or substantial possibility of mass movement) where the movement of earth material at, beneath, or adjacent to the MSWLF unit, because of natural or human-induced events, results in the downslope transport of soil and rock material by means of gravitational influence. Areas of mass movement include, but are not limited to, landslides, avalanches, debris slides and flows, soil fluction, block sliding, and rock fall.</w:t>
      </w:r>
    </w:p>
    <w:p>
      <w:pPr>
        <w:spacing w:before="0" w:after="0"/>
        <w:ind w:left="120"/>
        <w:jc w:val="both"/>
      </w:pPr>
      <w:r>
        <w:rPr>
          <w:rFonts w:ascii="Times New Roman" w:hAnsi="Times New Roman"/>
          <w:b w:val="false"/>
          <w:i/>
          <w:color w:val="000000"/>
          <w:sz w:val="22"/>
        </w:rPr>
        <w:t>“Karst terranes”</w:t>
      </w:r>
      <w:r>
        <w:rPr>
          <w:rFonts w:ascii="Times New Roman" w:hAnsi="Times New Roman"/>
          <w:b w:val="false"/>
          <w:i w:val="false"/>
          <w:color w:val="000000"/>
          <w:sz w:val="22"/>
        </w:rPr>
        <w:t xml:space="preserve"> means areas where karst topography, with its characteristic surface and subterranean features, is developed as the result of dissolution of limestone, dolomite, or other soluble rock. Characteristic physiographic features present in karst terranes include, but are not limited to, sinkholes, sinking streams, caves, large springs, and blind valleys.</w:t>
      </w:r>
    </w:p>
    <w:p>
      <w:pPr>
        <w:spacing w:before="0" w:after="0"/>
        <w:ind w:left="120"/>
        <w:jc w:val="both"/>
      </w:pPr>
      <w:r>
        <w:rPr>
          <w:rFonts w:ascii="Times New Roman" w:hAnsi="Times New Roman"/>
          <w:b w:val="false"/>
          <w:i w:val="false"/>
          <w:color w:val="000000"/>
          <w:sz w:val="22"/>
        </w:rPr>
        <w:t>Owners or operators of new MSWLF units, existing MSWLF units, and lateral expansions located in an unstable area must demonstrate to the department that engineering measures have been incorporated into the MSWLF unit’s design to ensure that the integrity of the structural components of the MSWLF unit will not be disrupted. The owner or operator must place the demonstration in the operating record and submit a copy of the demonstration to the department. The owner or operator must consider the following factors, at a minimum, when determining whether an area is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On-site or local soil conditions that may result in significant differential settling;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On-site or local geologic or geomorphologic features;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On-site or local human-made features or human-induced events (both surface and subsurface).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Threatened or endangered flora and fauna.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MSWLF owners or operators shall contact the department’s Iowa Natural Areas Inventory with a request to search its records to determine the presence of, or habitat for, any threatened or endangered species or communities of flora or fauna on the proposed site. In the event that the department’s Iowa Natural Areas Inventory does not contain records of threatened or endangered species or communities but their presence is suspected, then the permit applicant shall conduct a site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any threatened or endangered species be identified pursuant to subparagraph </w:t>
      </w:r>
      <w:hyperlink r:id="rId70">
        <w:r>
          <w:rPr>
            <w:rStyle w:val="Hyperlink"/>
            <w:rFonts w:ascii="Times New Roman" w:hAnsi="Times New Roman"/>
            <w:b w:val="false"/>
            <w:i w:val="false"/>
            <w:color w:val="000000"/>
            <w:sz w:val="22"/>
          </w:rPr>
          <w:t>113.6(2)</w:t>
        </w:r>
      </w:hyperlink>
      <w:r>
        <w:rPr>
          <w:rFonts w:ascii="Times New Roman" w:hAnsi="Times New Roman"/>
          <w:b w:val="false"/>
          <w:i/>
          <w:color w:val="000000"/>
          <w:sz w:val="22"/>
        </w:rPr>
        <w:t>“g”</w:t>
      </w:r>
      <w:r>
        <w:rPr>
          <w:rFonts w:ascii="Times New Roman" w:hAnsi="Times New Roman"/>
          <w:b w:val="false"/>
          <w:i w:val="false"/>
          <w:color w:val="000000"/>
          <w:sz w:val="22"/>
        </w:rPr>
        <w:t>(1), the permit applicant shall demonstrate to the department that the MSWLF unit will not cause or contribute to significant degradation of the threatened or endangered species or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Cultural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MSWLF owners and operators shall prepare a comprehensive listing of, and assessment of the impact on, any archaeologically, historically, or architecturally significant properties on the proposed site. To assess the impact, the permit applicant shall consult with the historic preservation bureau of the state historical society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any significant cultural resources be identified pursuant to subparagraph </w:t>
      </w:r>
      <w:hyperlink r:id="rId71">
        <w:r>
          <w:rPr>
            <w:rStyle w:val="Hyperlink"/>
            <w:rFonts w:ascii="Times New Roman" w:hAnsi="Times New Roman"/>
            <w:b w:val="false"/>
            <w:i w:val="false"/>
            <w:color w:val="000000"/>
            <w:sz w:val="22"/>
          </w:rPr>
          <w:t>113.6(2)</w:t>
        </w:r>
      </w:hyperlink>
      <w:r>
        <w:rPr>
          <w:rFonts w:ascii="Times New Roman" w:hAnsi="Times New Roman"/>
          <w:b w:val="false"/>
          <w:i/>
          <w:color w:val="000000"/>
          <w:sz w:val="22"/>
        </w:rPr>
        <w:t>“h”</w:t>
      </w:r>
      <w:r>
        <w:rPr>
          <w:rFonts w:ascii="Times New Roman" w:hAnsi="Times New Roman"/>
          <w:b w:val="false"/>
          <w:i w:val="false"/>
          <w:color w:val="000000"/>
          <w:sz w:val="22"/>
        </w:rPr>
        <w:t>(1), the permit applicant shall demonstrate to the department that the MSWLF unit will not cause or contribute to significant degradation of those cultural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Separation from groundwater. </w:t>
      </w:r>
      <w:r>
        <w:rPr>
          <w:rFonts w:ascii="Times New Roman" w:hAnsi="Times New Roman"/>
          <w:b w:val="false"/>
          <w:i w:val="false"/>
          <w:color w:val="000000"/>
          <w:sz w:val="22"/>
        </w:rPr>
        <w:t>The base of an MSWLF unit shall be situated so that the base of the waste within the proposed unit is at least 5 feet above the high water table unless a greater separation is required to ensure that there will be no significant adverse effect on groundwater or surface waters or a lesser separation is unlikely to have a significant adverse effect on groundwater or surface waters. Artificial means of lowering the high water table are acceptable. The separation of the base of an MSWLF unit from the high water table shall be measured and maintained in a manner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Wells and community water systems. </w:t>
      </w:r>
      <w:r>
        <w:rPr>
          <w:rFonts w:ascii="Times New Roman" w:hAnsi="Times New Roman"/>
          <w:b w:val="false"/>
          <w:i w:val="false"/>
          <w:color w:val="000000"/>
          <w:sz w:val="22"/>
        </w:rPr>
        <w:t>An MSWLF unit shall not be within 1,000 feet of any potable well or community water system in existence at the time of receipt of the original permit application or application to laterally expand the permitted MSWLF unit for the facility that is being used for human or livestock consumption. Groundwater monitoring wells are exempt from this requirement. The department may also exempt extraction wells utilized as part of a remediation system from this requirement. A new MSWLF unit shall not be within 1,000 feet of a downgradient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Property line setback. </w:t>
      </w:r>
      <w:r>
        <w:rPr>
          <w:rFonts w:ascii="Times New Roman" w:hAnsi="Times New Roman"/>
          <w:b w:val="false"/>
          <w:i w:val="false"/>
          <w:color w:val="000000"/>
          <w:sz w:val="22"/>
        </w:rPr>
        <w:t>An MSWLF unit shall be at least 50 feet from the adjacent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Housing and sensitive populations. </w:t>
      </w:r>
      <w:r>
        <w:rPr>
          <w:rFonts w:ascii="Times New Roman" w:hAnsi="Times New Roman"/>
          <w:b w:val="false"/>
          <w:i w:val="false"/>
          <w:color w:val="000000"/>
          <w:sz w:val="22"/>
        </w:rPr>
        <w:t>An MSWLF unit shall not be within 500 feet of an occupied residence, recreational area, child care facility, educational facility, or health care facility in existence at the time of receipt of the original permit application or application to laterally expand the permitted MSWLF unit, unless there is a written agreement between the MSWLF owner and such facility. The written agreement shall be filed with the county recorder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113.6(3)</w:t>
      </w:r>
      <w:r>
        <w:rPr>
          <w:rFonts w:ascii="Times New Roman" w:hAnsi="Times New Roman"/>
          <w:b w:val="false"/>
          <w:i w:val="false"/>
          <w:color w:val="000000"/>
          <w:sz w:val="22"/>
        </w:rPr>
        <w:t> </w:t>
      </w:r>
      <w:r>
        <w:rPr>
          <w:rFonts w:ascii="Times New Roman" w:hAnsi="Times New Roman"/>
          <w:b w:val="false"/>
          <w:i/>
          <w:color w:val="000000"/>
          <w:sz w:val="22"/>
        </w:rPr>
        <w:t xml:space="preserve">Soil and hydrogeologic investigations. </w:t>
      </w:r>
      <w:r>
        <w:rPr>
          <w:rFonts w:ascii="Times New Roman" w:hAnsi="Times New Roman"/>
          <w:b w:val="false"/>
          <w:i w:val="false"/>
          <w:color w:val="000000"/>
          <w:sz w:val="22"/>
        </w:rPr>
        <w:t xml:space="preserve">An MSWLF shall have a qualified groundwater scientist, as defined in paragraph </w:t>
      </w:r>
      <w:hyperlink r:id="rId72">
        <w:r>
          <w:rPr>
            <w:rStyle w:val="Hyperlink"/>
            <w:rFonts w:ascii="Times New Roman" w:hAnsi="Times New Roman"/>
            <w:b w:val="false"/>
            <w:i w:val="false"/>
            <w:color w:val="000000"/>
            <w:sz w:val="22"/>
          </w:rPr>
          <w:t>113.10(1)</w:t>
        </w:r>
      </w:hyperlink>
      <w:r>
        <w:rPr>
          <w:rFonts w:ascii="Times New Roman" w:hAnsi="Times New Roman"/>
          <w:b w:val="false"/>
          <w:i/>
          <w:color w:val="000000"/>
          <w:sz w:val="22"/>
        </w:rPr>
        <w:t>“d,”</w:t>
      </w:r>
      <w:r>
        <w:rPr>
          <w:rFonts w:ascii="Times New Roman" w:hAnsi="Times New Roman"/>
          <w:b w:val="false"/>
          <w:i w:val="false"/>
          <w:color w:val="000000"/>
          <w:sz w:val="22"/>
        </w:rPr>
        <w:t xml:space="preserve"> to conduct a soil and hydrogeologic investigation in accordance with this subrule. The purpose of this investigation is to obtain data to determine potential routes of contaminant migration via groundwater. Such information is vital for completion of the site exploration and characterization report, and the hydrologic monitoring system plan and design. This subrule sets forth the minimum requirements for soil and hydrogeologic investigations. The MSWLF shall comply with this subrule unless the department issues written approval due to specific site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of borings. </w:t>
      </w:r>
      <w:r>
        <w:rPr>
          <w:rFonts w:ascii="Times New Roman" w:hAnsi="Times New Roman"/>
          <w:b w:val="false"/>
          <w:i w:val="false"/>
          <w:color w:val="000000"/>
          <w:sz w:val="22"/>
        </w:rPr>
        <w:t>A sufficient number of borings shall be made to accurately identify the stratigraphic and hydrogeologic conditions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Depth of borings. </w:t>
      </w:r>
      <w:r>
        <w:rPr>
          <w:rFonts w:ascii="Times New Roman" w:hAnsi="Times New Roman"/>
          <w:b w:val="false"/>
          <w:i w:val="false"/>
          <w:color w:val="000000"/>
          <w:sz w:val="22"/>
        </w:rPr>
        <w:t>Unless otherwise approved by the department in writing, the following requirements shall apply to the depth of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borings shall be a minimum of 25 feet deep and at least 10 feet below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half of all borings shall extend 20 feet into the uppermost aquifer, 50 feet below the water table, or 10 feet into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a minimum, one boring shall extend 10 feet into bedrock or 100 feet below the lowest ground surface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borings shall be of sufficient depth to correlate strata between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Boring method and soil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 samples shall be collected for all borings, unless otherwise approved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Boring logs shall be as detailed as possible in describing each stratum.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Samples shall be clearly marked, preserved and transported in accordance with laboratory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permit applicant shall keep and preserve samples until at least 30 days after the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Soil samples from each stratum shall be tested for falling-head permeability and grain size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Conversion of or plugging borings.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Borings may be converted to piezometers or monitoring wells. However, the conversion of such borings does not guarantee that more piezometers or monitoring wells will not be required in the department-approved hydrologic monitoring system plan and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Borings not converted to piezometers or monitoring wells shall be plugged and properly sealed so as not to create pathways for subsurface or surface pollution migration. Borings converted to piezometers or monitoring wells may still need to be partially plugged depending on the depth of the boring. Plugging shall be performed pursuant to paragraph </w:t>
      </w:r>
      <w:hyperlink r:id="rId73">
        <w:r>
          <w:rPr>
            <w:rStyle w:val="Hyperlink"/>
            <w:rFonts w:ascii="Times New Roman" w:hAnsi="Times New Roman"/>
            <w:b w:val="false"/>
            <w:i w:val="false"/>
            <w:color w:val="000000"/>
            <w:sz w:val="22"/>
          </w:rPr>
          <w:t>113.10(2)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Soil and hydrogeologic investigation description and analysis. </w:t>
      </w:r>
      <w:r>
        <w:rPr>
          <w:rFonts w:ascii="Times New Roman" w:hAnsi="Times New Roman"/>
          <w:b w:val="false"/>
          <w:i w:val="false"/>
          <w:color w:val="000000"/>
          <w:sz w:val="22"/>
        </w:rPr>
        <w:t>A soil and hydrogeologic investigation description and analysis shall be completed and maintained and, at a minimum,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boring logs pursuant to subparagraph </w:t>
      </w:r>
      <w:hyperlink r:id="rId74">
        <w:r>
          <w:rPr>
            <w:rStyle w:val="Hyperlink"/>
            <w:rFonts w:ascii="Times New Roman" w:hAnsi="Times New Roman"/>
            <w:b w:val="false"/>
            <w:i w:val="false"/>
            <w:color w:val="000000"/>
            <w:sz w:val="22"/>
          </w:rPr>
          <w:t>113.6(3)</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properties of each soil and bedrock stratum as appropriate,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Soil texture and classification.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Particle size distribution.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Mineral composition, cementation, and soil structure.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Permeability, including horizontal and vertical permeability, and porosity.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Geologic structure, including strike, dip, folding, faulting and jointing.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Previous activities and infrastructure at the site that could affect geology and hydrogeology, such as but not limited to mining, quarry operations, borrow pits, waste disposal, storage tanks, pipelines, utilities and tile lines.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Lenses and other discontinuous units, voids, solution openings, layering, fractures, other heterogeneity, and the scale or frequency of the heterogeneity.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Correlation and continuity of strata between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Descriptions of the hydrogeologic units within the saturated zone,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Thickness.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Hydraulic properties, including as appropriate, conductivity, transmissivity, storativity, and effective porosity.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Concentrations of chemical constituents listed in Appendix I present in the groundwater of hydrogeologic units and the source of those constituents, if known.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Role and effect of each hydrogeologic unit as an aquifer, aquitard, or perched saturated zone.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actual or potential use of the aquifers as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view maps, and a series of cross sections with two oriented perpendicular and two oriented parallel to the predominant directions of groundwater flow through the MSWLF unit, showing: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of soil and bedrock strata.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position of the water table.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position of the uppermost aquifer.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Measured values of hydraulic head.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Equipotential lines and inferred groundwater streamlines of the water table, and the uppermost aquifer if different from the water table.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Location of soil and bedrock borings.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Location of piezometers and monitoring points,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and evaluation of horizontal and vertical groundwater flow which specifically addresses the following and their significance to the movement of pollutants carried by groundwater: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Local, intermediate and regional groundwater systems.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Groundwater recharge and discharge areas within and immediately surrounding the facility, including interactions with perennial and intermittent surface waters and how the facility affects recharge rates.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Existing and proposed groundwater and surface water withdrawals.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effects of heterogeneity, fractures or directional differences in permeability on groundwater movement.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Directions of groundwater movement, including vertical components of flow, specific discharge rates and average linear velocities within the hydrologic strata.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Seasonal or other temporal fluctuations in hydraulic head.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effect of existing and proposed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analysis of potential impacts on groundwater and surface water quality, and water users, in the event of a theoretical release at the most downgradient portion of each MSWLF unit. The analysis shall at a minimum utilize contaminants and indicator parameters with high mobility in groundwater (e.g., chlorides, organic solvents). This analysis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Assumptions and approximations utilized, and why they were utilized.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a model is utilized, a thorough description of models used and each model’s capabilities and limitations, including the reliability and accuracy of the models in actual field tests.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Projected paths and rates of movement of contaminants found in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Recommendations for the location of the proposed MSWLF unit and conceptual design based on hydrogeologic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113.6(4)</w:t>
      </w:r>
      <w:r>
        <w:rPr>
          <w:rFonts w:ascii="Times New Roman" w:hAnsi="Times New Roman"/>
          <w:b w:val="false"/>
          <w:i w:val="false"/>
          <w:color w:val="000000"/>
          <w:sz w:val="22"/>
        </w:rPr>
        <w:t> </w:t>
      </w:r>
      <w:r>
        <w:rPr>
          <w:rFonts w:ascii="Times New Roman" w:hAnsi="Times New Roman"/>
          <w:b w:val="false"/>
          <w:i/>
          <w:color w:val="000000"/>
          <w:sz w:val="22"/>
        </w:rPr>
        <w:t xml:space="preserve">Site exploration and characterization report. </w:t>
      </w:r>
      <w:r>
        <w:rPr>
          <w:rFonts w:ascii="Times New Roman" w:hAnsi="Times New Roman"/>
          <w:b w:val="false"/>
          <w:i w:val="false"/>
          <w:color w:val="000000"/>
          <w:sz w:val="22"/>
        </w:rPr>
        <w:t xml:space="preserve">An MSWLF shall maintain a site exploration and characterization report. At a minimum, the site exploration and characterization report shall detail compliance with the requirements of rule </w:t>
      </w:r>
      <w:hyperlink r:id="rId75">
        <w:r>
          <w:rPr>
            <w:rStyle w:val="Hyperlink"/>
            <w:rFonts w:ascii="Times New Roman" w:hAnsi="Times New Roman"/>
            <w:b w:val="false"/>
            <w:i w:val="false"/>
            <w:color w:val="000000"/>
            <w:sz w:val="22"/>
          </w:rPr>
          <w:t>567—113.6</w:t>
        </w:r>
      </w:hyperlink>
      <w:r>
        <w:rPr>
          <w:rFonts w:ascii="Times New Roman" w:hAnsi="Times New Roman"/>
          <w:b w:val="false"/>
          <w:i w:val="false"/>
          <w:color w:val="000000"/>
          <w:sz w:val="22"/>
        </w:rPr>
        <w:t>(455B) and shall contain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page and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and legal entitlement to use the site as an MSWLF. If the applicant does not own the site, then proof of legal entitlement to the site, such as, for example, a lease, must be submitted. Such legal entitlement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Provisions that allow continued disposal operations until closure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Provisions for the performance of facility closure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Provisions for postclosure care for at least a 30-year period after facility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the applicant’s local siting approval pursuant to Iowa Code section </w:t>
      </w:r>
      <w:hyperlink r:id="rId76">
        <w:r>
          <w:rPr>
            <w:rStyle w:val="Hyperlink"/>
            <w:rFonts w:ascii="Times New Roman" w:hAnsi="Times New Roman"/>
            <w:b w:val="false"/>
            <w:i w:val="false"/>
            <w:color w:val="000000"/>
            <w:sz w:val="22"/>
          </w:rPr>
          <w:t>455B.305A</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Scaled maps or aerial photographs locating the boundaries of the facility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North and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Section lines and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0.5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facility, including load limits or other restrictions on those 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Topography within 0.5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Applicable setback distances and location requirements pursuant to rule </w:t>
      </w:r>
      <w:hyperlink r:id="rId77">
        <w:r>
          <w:rPr>
            <w:rStyle w:val="Hyperlink"/>
            <w:rFonts w:ascii="Times New Roman" w:hAnsi="Times New Roman"/>
            <w:b w:val="false"/>
            <w:i w:val="false"/>
            <w:color w:val="000000"/>
            <w:sz w:val="22"/>
          </w:rPr>
          <w:t>567—113.6</w:t>
        </w:r>
      </w:hyperlink>
      <w:r>
        <w:rPr>
          <w:rFonts w:ascii="Times New Roman" w:hAnsi="Times New Roman"/>
          <w:b w:val="false"/>
          <w:i w:val="false"/>
          <w:color w:val="000000"/>
          <w:sz w:val="22"/>
        </w:rPr>
        <w:t>(455B),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Airports within 6 miles of existing, new and planned MSWLF units.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Floodplains within or adjacent to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Wetlands within or adjacent to the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Fault areas within 200 feet of existing, new and planned MSWLF units.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Seismic impact zones within or adjacent to the facility.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Unstable areas within or adjacent to the facility.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Location of threatened or endangered species within or adjacent to the facility.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Location of cultural resources within or adjacent to the facility.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Wells within 1,000 feet of upgradient existing, new and planned MSWLF units.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Community water systems within 1 mile of upgradient existing, new and planned MSWLF units.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Boundaries of the existing, new and planned MSWLF units and the facility property line.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Housing and sensitive populations within 500 feet of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bird-aircraft hazard demonstration pursuant to paragraph </w:t>
      </w:r>
      <w:hyperlink r:id="rId78">
        <w:r>
          <w:rPr>
            <w:rStyle w:val="Hyperlink"/>
            <w:rFonts w:ascii="Times New Roman" w:hAnsi="Times New Roman"/>
            <w:b w:val="false"/>
            <w:i w:val="false"/>
            <w:color w:val="000000"/>
            <w:sz w:val="22"/>
          </w:rPr>
          <w:t>113.6(2)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floodplain demonstration pursuant to paragraph </w:t>
      </w:r>
      <w:hyperlink r:id="rId79">
        <w:r>
          <w:rPr>
            <w:rStyle w:val="Hyperlink"/>
            <w:rFonts w:ascii="Times New Roman" w:hAnsi="Times New Roman"/>
            <w:b w:val="false"/>
            <w:i w:val="false"/>
            <w:color w:val="000000"/>
            <w:sz w:val="22"/>
          </w:rPr>
          <w:t>113.6(2)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wetlands demonstration pursuant to paragraph </w:t>
      </w:r>
      <w:hyperlink r:id="rId80">
        <w:r>
          <w:rPr>
            <w:rStyle w:val="Hyperlink"/>
            <w:rFonts w:ascii="Times New Roman" w:hAnsi="Times New Roman"/>
            <w:b w:val="false"/>
            <w:i w:val="false"/>
            <w:color w:val="000000"/>
            <w:sz w:val="22"/>
          </w:rPr>
          <w:t>113.6(2)</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fault area demonstration pursuant to paragraph </w:t>
      </w:r>
      <w:hyperlink r:id="rId81">
        <w:r>
          <w:rPr>
            <w:rStyle w:val="Hyperlink"/>
            <w:rFonts w:ascii="Times New Roman" w:hAnsi="Times New Roman"/>
            <w:b w:val="false"/>
            <w:i w:val="false"/>
            <w:color w:val="000000"/>
            <w:sz w:val="22"/>
          </w:rPr>
          <w:t>113.6(2)</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seismic impact zone demonstration pursuant to paragraph </w:t>
      </w:r>
      <w:hyperlink r:id="rId82">
        <w:r>
          <w:rPr>
            <w:rStyle w:val="Hyperlink"/>
            <w:rFonts w:ascii="Times New Roman" w:hAnsi="Times New Roman"/>
            <w:b w:val="false"/>
            <w:i w:val="false"/>
            <w:color w:val="000000"/>
            <w:sz w:val="22"/>
          </w:rPr>
          <w:t>113.6(2)</w:t>
        </w:r>
      </w:hyperlink>
      <w:r>
        <w:rPr>
          <w:rFonts w:ascii="Times New Roman" w:hAnsi="Times New Roman"/>
          <w:b w:val="false"/>
          <w:i/>
          <w:color w:val="000000"/>
          <w:sz w:val="22"/>
        </w:rPr>
        <w:t>“e,”</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unstable area demonstration pursuant to paragraph </w:t>
      </w:r>
      <w:hyperlink r:id="rId83">
        <w:r>
          <w:rPr>
            <w:rStyle w:val="Hyperlink"/>
            <w:rFonts w:ascii="Times New Roman" w:hAnsi="Times New Roman"/>
            <w:b w:val="false"/>
            <w:i w:val="false"/>
            <w:color w:val="000000"/>
            <w:sz w:val="22"/>
          </w:rPr>
          <w:t>113.6(2)</w:t>
        </w:r>
      </w:hyperlink>
      <w:r>
        <w:rPr>
          <w:rFonts w:ascii="Times New Roman" w:hAnsi="Times New Roman"/>
          <w:b w:val="false"/>
          <w:i/>
          <w:color w:val="000000"/>
          <w:sz w:val="22"/>
        </w:rPr>
        <w:t>“f,”</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threatened or endangered flora and fauna demonstration pursuant to paragraph </w:t>
      </w:r>
      <w:hyperlink r:id="rId84">
        <w:r>
          <w:rPr>
            <w:rStyle w:val="Hyperlink"/>
            <w:rFonts w:ascii="Times New Roman" w:hAnsi="Times New Roman"/>
            <w:b w:val="false"/>
            <w:i w:val="false"/>
            <w:color w:val="000000"/>
            <w:sz w:val="22"/>
          </w:rPr>
          <w:t>113.6(2)</w:t>
        </w:r>
      </w:hyperlink>
      <w:r>
        <w:rPr>
          <w:rFonts w:ascii="Times New Roman" w:hAnsi="Times New Roman"/>
          <w:b w:val="false"/>
          <w:i/>
          <w:color w:val="000000"/>
          <w:sz w:val="22"/>
        </w:rPr>
        <w:t>“g,”</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cultural resources demonstration pursuant to paragraph </w:t>
      </w:r>
      <w:hyperlink r:id="rId85">
        <w:r>
          <w:rPr>
            <w:rStyle w:val="Hyperlink"/>
            <w:rFonts w:ascii="Times New Roman" w:hAnsi="Times New Roman"/>
            <w:b w:val="false"/>
            <w:i w:val="false"/>
            <w:color w:val="000000"/>
            <w:sz w:val="22"/>
          </w:rPr>
          <w:t>113.6(2)</w:t>
        </w:r>
      </w:hyperlink>
      <w:r>
        <w:rPr>
          <w:rFonts w:ascii="Times New Roman" w:hAnsi="Times New Roman"/>
          <w:b w:val="false"/>
          <w:i/>
          <w:color w:val="000000"/>
          <w:sz w:val="22"/>
        </w:rPr>
        <w:t>“h,”</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written agreements with surrounding property owners pursuant to paragraph </w:t>
      </w:r>
      <w:hyperlink r:id="rId86">
        <w:r>
          <w:rPr>
            <w:rStyle w:val="Hyperlink"/>
            <w:rFonts w:ascii="Times New Roman" w:hAnsi="Times New Roman"/>
            <w:b w:val="false"/>
            <w:i w:val="false"/>
            <w:color w:val="000000"/>
            <w:sz w:val="22"/>
          </w:rPr>
          <w:t>113.6(2)</w:t>
        </w:r>
      </w:hyperlink>
      <w:r>
        <w:rPr>
          <w:rFonts w:ascii="Times New Roman" w:hAnsi="Times New Roman"/>
          <w:b w:val="false"/>
          <w:i/>
          <w:color w:val="000000"/>
          <w:sz w:val="22"/>
        </w:rPr>
        <w:t>“l,”</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and hydrogeologic investigation description and analysis pursuant to paragraph </w:t>
      </w:r>
      <w:hyperlink r:id="rId87">
        <w:r>
          <w:rPr>
            <w:rStyle w:val="Hyperlink"/>
            <w:rFonts w:ascii="Times New Roman" w:hAnsi="Times New Roman"/>
            <w:b w:val="false"/>
            <w:i w:val="false"/>
            <w:color w:val="000000"/>
            <w:sz w:val="22"/>
          </w:rPr>
          <w:t>113.6(3)</w:t>
        </w:r>
      </w:hyperlink>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567—113.7</w:t>
      </w:r>
      <w:r>
        <w:rPr>
          <w:rFonts w:ascii="Times New Roman" w:hAnsi="Times New Roman"/>
          <w:b/>
          <w:i w:val="false"/>
          <w:color w:val="000000"/>
          <w:sz w:val="22"/>
        </w:rPr>
        <w:t xml:space="preserve">(455B) </w:t>
      </w:r>
      <w:r>
        <w:rPr>
          <w:rFonts w:ascii="Times New Roman" w:hAnsi="Times New Roman"/>
          <w:b/>
          <w:i w:val="false"/>
          <w:color w:val="000000"/>
          <w:sz w:val="22"/>
        </w:rPr>
        <w:t xml:space="preserve">MSWLF unit design and construction standards. </w:t>
      </w:r>
      <w:r>
        <w:rPr>
          <w:rFonts w:ascii="Times New Roman" w:hAnsi="Times New Roman"/>
          <w:b w:val="false"/>
          <w:i w:val="false"/>
          <w:color w:val="000000"/>
          <w:sz w:val="22"/>
        </w:rPr>
        <w:t>All MSWLF units shall be designed and constructed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113.7(1)</w:t>
      </w:r>
      <w:r>
        <w:rPr>
          <w:rFonts w:ascii="Times New Roman" w:hAnsi="Times New Roman"/>
          <w:b w:val="false"/>
          <w:i w:val="false"/>
          <w:color w:val="000000"/>
          <w:sz w:val="22"/>
        </w:rPr>
        <w:t> </w:t>
      </w:r>
      <w:r>
        <w:rPr>
          <w:rFonts w:ascii="Times New Roman" w:hAnsi="Times New Roman"/>
          <w:b w:val="false"/>
          <w:i/>
          <w:color w:val="000000"/>
          <w:sz w:val="22"/>
        </w:rPr>
        <w:t xml:space="preserve">Predesign meeting with the department. </w:t>
      </w:r>
      <w:r>
        <w:rPr>
          <w:rFonts w:ascii="Times New Roman" w:hAnsi="Times New Roman"/>
          <w:b w:val="false"/>
          <w:i w:val="false"/>
          <w:color w:val="000000"/>
          <w:sz w:val="22"/>
        </w:rPr>
        <w:t>A potential applicant for a new MSWLF unit may schedule a predesign meeting with the department’s landfill permitting staff prior to beginning work on the plans and specifications of a modified or new MSWLF. The purpose of this meeting is to help minimize the need for revisions upon submittal of the official designs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requested by the department, one copy of plans, specifications and supporting documents shall be sent to the department for review. Upon written department approval, the documents shall be submitted in triplicate to the department for proper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new MSWLF units shall be constructed in compliance with the rules and regulations in effect at the time of construction. Previous department approval of plans and specifications for MSWLF units not yet constructed shall be superseded by the promulgation of new rules and regulations, after which plans and specifications shall be resubmitted to the department for approval prior to construction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113.7(3)</w:t>
      </w:r>
      <w:r>
        <w:rPr>
          <w:rFonts w:ascii="Times New Roman" w:hAnsi="Times New Roman"/>
          <w:b w:val="false"/>
          <w:i w:val="false"/>
          <w:color w:val="000000"/>
          <w:sz w:val="22"/>
        </w:rPr>
        <w:t> </w:t>
      </w:r>
      <w:r>
        <w:rPr>
          <w:rFonts w:ascii="Times New Roman" w:hAnsi="Times New Roman"/>
          <w:b w:val="false"/>
          <w:i/>
          <w:color w:val="000000"/>
          <w:sz w:val="22"/>
        </w:rPr>
        <w:t xml:space="preserve">General site design and construction requirements. </w:t>
      </w:r>
      <w:r>
        <w:rPr>
          <w:rFonts w:ascii="Times New Roman" w:hAnsi="Times New Roman"/>
          <w:b w:val="false"/>
          <w:i w:val="false"/>
          <w:color w:val="000000"/>
          <w:sz w:val="22"/>
        </w:rPr>
        <w:t>An MSWLF shall have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All-weather access roads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perimeter fence with a lockable gate(s) to help prevent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sign at the entrance to the facility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permit number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Days and hours that the facility is open to the public or a statement that the facility is not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list of materials that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Telephone number of the official responsible for operation of the facility and the emergency contact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All-weather access roads within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Signs or pavement markings clearly indicating safe and proper on-site traffic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Adequate queuing distance for vehicles entering and exiting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scale certified by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113.7(4)</w:t>
      </w:r>
      <w:r>
        <w:rPr>
          <w:rFonts w:ascii="Times New Roman" w:hAnsi="Times New Roman"/>
          <w:b w:val="false"/>
          <w:i w:val="false"/>
          <w:color w:val="000000"/>
          <w:sz w:val="22"/>
        </w:rPr>
        <w:t> </w:t>
      </w:r>
      <w:r>
        <w:rPr>
          <w:rFonts w:ascii="Times New Roman" w:hAnsi="Times New Roman"/>
          <w:b w:val="false"/>
          <w:i/>
          <w:color w:val="000000"/>
          <w:sz w:val="22"/>
        </w:rPr>
        <w:t xml:space="preserve">MSWLF unit subgrade. </w:t>
      </w:r>
      <w:r>
        <w:rPr>
          <w:rFonts w:ascii="Times New Roman" w:hAnsi="Times New Roman"/>
          <w:b w:val="false"/>
          <w:i w:val="false"/>
          <w:color w:val="000000"/>
          <w:sz w:val="22"/>
        </w:rPr>
        <w:t>The subgrade for a new MSWLF unit shall be constructed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trees, stumps, roots, boulders, debris, and other material capable of deteriorating in situ material strength or of creating a preferential pathway for contaminants shall be completely removed or sealed off prior to construction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material beneath the MSWLF unit shall have sufficient strength to support the weight of the unit during all phases of construction and operation. The loads and loading rate shall not cause or contribute to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settlement or swell of the MSWLF unit’s subgrade shall not cause or contribute to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 situ material of the MSWLF unit’s subgrade cannot meet the requirements of paragraphs </w:t>
      </w:r>
      <w:hyperlink r:id="rId88">
        <w:r>
          <w:rPr>
            <w:rStyle w:val="Hyperlink"/>
            <w:rFonts w:ascii="Times New Roman" w:hAnsi="Times New Roman"/>
            <w:b w:val="false"/>
            <w:i w:val="false"/>
            <w:color w:val="000000"/>
            <w:sz w:val="22"/>
          </w:rPr>
          <w:t>113.7(4)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113.7(4)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then such material shall be removed and replaced with material capable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subgrade of an MSWLF unit shall be constructed and graded to provide a smooth working surface on which to construct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subgrade of an MSWLF unit shall not be constructed in or with frozen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113.7(5)</w:t>
      </w:r>
      <w:r>
        <w:rPr>
          <w:rFonts w:ascii="Times New Roman" w:hAnsi="Times New Roman"/>
          <w:b w:val="false"/>
          <w:i w:val="false"/>
          <w:color w:val="000000"/>
          <w:sz w:val="22"/>
        </w:rPr>
        <w:t> </w:t>
      </w:r>
      <w:r>
        <w:rPr>
          <w:rFonts w:ascii="Times New Roman" w:hAnsi="Times New Roman"/>
          <w:b w:val="false"/>
          <w:i/>
          <w:color w:val="000000"/>
          <w:sz w:val="22"/>
        </w:rPr>
        <w:t xml:space="preserve">MSWLF unit liners and leachate collection systems. </w:t>
      </w:r>
      <w:r>
        <w:rPr>
          <w:rFonts w:ascii="Times New Roman" w:hAnsi="Times New Roman"/>
          <w:b w:val="false"/>
          <w:i w:val="false"/>
          <w:color w:val="000000"/>
          <w:sz w:val="22"/>
        </w:rPr>
        <w:t>The liner and leachate collection system for a new MSWLF unit shall be constructed in accordance with the requirements of this subrule. All active portions must have a composite liner or an alternative liner approved by the department. An MSWLF unit must have a functioning leachate collection system during its active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Liner systems. </w:t>
      </w:r>
      <w:r>
        <w:rPr>
          <w:rFonts w:ascii="Times New Roman" w:hAnsi="Times New Roman"/>
          <w:b w:val="false"/>
          <w:i w:val="false"/>
          <w:color w:val="000000"/>
          <w:sz w:val="22"/>
        </w:rPr>
        <w:t xml:space="preserve">An MSWLF unit shall have a liner system that complies with either the composite liner requirements of subparagraph </w:t>
      </w:r>
      <w:hyperlink r:id="rId90">
        <w:r>
          <w:rPr>
            <w:rStyle w:val="Hyperlink"/>
            <w:rFonts w:ascii="Times New Roman" w:hAnsi="Times New Roman"/>
            <w:b w:val="false"/>
            <w:i w:val="false"/>
            <w:color w:val="000000"/>
            <w:sz w:val="22"/>
          </w:rPr>
          <w:t>113.7(5)</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an alternative liner system that complies with the requirements of subparagraph </w:t>
      </w:r>
      <w:hyperlink r:id="rId91">
        <w:r>
          <w:rPr>
            <w:rStyle w:val="Hyperlink"/>
            <w:rFonts w:ascii="Times New Roman" w:hAnsi="Times New Roman"/>
            <w:b w:val="false"/>
            <w:i w:val="false"/>
            <w:color w:val="000000"/>
            <w:sz w:val="22"/>
          </w:rPr>
          <w:t>113.7(5)</w:t>
        </w:r>
      </w:hyperlink>
      <w:r>
        <w:rPr>
          <w:rFonts w:ascii="Times New Roman" w:hAnsi="Times New Roman"/>
          <w:b w:val="false"/>
          <w:i/>
          <w:color w:val="000000"/>
          <w:sz w:val="22"/>
        </w:rPr>
        <w:t>“a”</w:t>
      </w:r>
      <w:r>
        <w:rPr>
          <w:rFonts w:ascii="Times New Roman" w:hAnsi="Times New Roman"/>
          <w:b w:val="false"/>
          <w:i w:val="false"/>
          <w:color w:val="000000"/>
          <w:sz w:val="22"/>
        </w:rPr>
        <w:t>(2). Liners utilizing compacted soil must place the compacted soil in lifts no thicker than 8 inches after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Composite liner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composite liner consists of two components, an upper flexible membrane liner (FML) and a lower compacted soil liner.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upper component must consist of a minimum 30-mil flexible membrane liner (FML). FML components consisting of high-density polyethylene (HDPE) shall be at least 60 mil thick. The FML component must be installed in direct and uniform contact with the lower compacted soil component.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lower component must consist of at least a 2-foot layer of compacted soil with a hydraulic conductivity of no more than 1×10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centimeters per second (cm/sec). The compacted soil must be placed in lifts no thicker than 8 inches after compaction.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composite liner must be adequately sloped toward the leachate collection pipes to provide drainage of leachate. Unless alternative design requirements to this performance standard are approved as part of the permit under subrule </w:t>
      </w:r>
      <w:hyperlink r:id="rId92">
        <w:r>
          <w:rPr>
            <w:rStyle w:val="Hyperlink"/>
            <w:rFonts w:ascii="Times New Roman" w:hAnsi="Times New Roman"/>
            <w:b w:val="false"/>
            <w:i w:val="false"/>
            <w:color w:val="000000"/>
            <w:sz w:val="22"/>
          </w:rPr>
          <w:t>113.2(11)</w:t>
        </w:r>
      </w:hyperlink>
      <w:r>
        <w:rPr>
          <w:rFonts w:ascii="Times New Roman" w:hAnsi="Times New Roman"/>
          <w:b w:val="false"/>
          <w:i w:val="false"/>
          <w:color w:val="000000"/>
          <w:sz w:val="22"/>
        </w:rPr>
        <w:t xml:space="preserve"> (relating to equivalency review procedure), the leachate collection system shall have a slope greater than or equal to 2 percent and not exceeding 33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 liner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design must ensure that the concentration values listed in Table I of rule </w:t>
      </w:r>
      <w:hyperlink r:id="rId93">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 xml:space="preserve">(455B) will not be exceeded in the uppermost aquifer at the relevant point of compliance, as specified pursuant to numbered paragraph </w:t>
      </w:r>
      <w:hyperlink r:id="rId94">
        <w:r>
          <w:rPr>
            <w:rStyle w:val="Hyperlink"/>
            <w:rFonts w:ascii="Times New Roman" w:hAnsi="Times New Roman"/>
            <w:b w:val="false"/>
            <w:i w:val="false"/>
            <w:color w:val="000000"/>
            <w:sz w:val="22"/>
          </w:rPr>
          <w:t>113.7(5)</w:t>
        </w:r>
      </w:hyperlink>
      <w:r>
        <w:rPr>
          <w:rFonts w:ascii="Times New Roman" w:hAnsi="Times New Roman"/>
          <w:b w:val="false"/>
          <w:i/>
          <w:color w:val="000000"/>
          <w:sz w:val="22"/>
        </w:rPr>
        <w:t>“a”</w:t>
      </w:r>
      <w:r>
        <w:rPr>
          <w:rFonts w:ascii="Times New Roman" w:hAnsi="Times New Roman"/>
          <w:b w:val="false"/>
          <w:i w:val="false"/>
          <w:color w:val="000000"/>
          <w:sz w:val="22"/>
        </w:rPr>
        <w:t>(2)“2.” Alternative liners utilizing compacted soil must place the compacted soil in lifts no thicker than 8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relevant point of compliance specified by the department must be within 50 feet of the planned liner or waste boundary, unless site conditions dictate otherwise, downgradient of the facility with respect to the hydrologic unit being monitored in accordance with subparagraph </w:t>
      </w:r>
      <w:hyperlink r:id="rId95">
        <w:r>
          <w:rPr>
            <w:rStyle w:val="Hyperlink"/>
            <w:rFonts w:ascii="Times New Roman" w:hAnsi="Times New Roman"/>
            <w:b w:val="false"/>
            <w:i w:val="false"/>
            <w:color w:val="000000"/>
            <w:sz w:val="22"/>
          </w:rPr>
          <w:t>113.10(2)</w:t>
        </w:r>
      </w:hyperlink>
      <w:r>
        <w:rPr>
          <w:rFonts w:ascii="Times New Roman" w:hAnsi="Times New Roman"/>
          <w:b w:val="false"/>
          <w:i/>
          <w:color w:val="000000"/>
          <w:sz w:val="22"/>
        </w:rPr>
        <w:t>“a”</w:t>
      </w:r>
      <w:r>
        <w:rPr>
          <w:rFonts w:ascii="Times New Roman" w:hAnsi="Times New Roman"/>
          <w:b w:val="false"/>
          <w:i w:val="false"/>
          <w:color w:val="000000"/>
          <w:sz w:val="22"/>
        </w:rPr>
        <w:t>(2), and located on land owned by the owner of the MSWLF unit. The relevant point of compliance specified by the department shall be at least 50 feet from the property line of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approving an alternative liner design, the department shall consider at least the following factors: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hydrogeologic characteristics of the facility and surrounding land.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climatic factors of the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volume and physical and chemical characteristics of the leachate.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sensitivities and limitations of the modeling demonstrating the applicable point of compliance.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Practicable capability of the owner or operator.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alternative liner must be adequately sloped toward the leachate collection pipes to provide drainage of leachate. Unless alternative design requirements to this performance standard are approved as part of the permit under subrule </w:t>
      </w:r>
      <w:hyperlink r:id="rId96">
        <w:r>
          <w:rPr>
            <w:rStyle w:val="Hyperlink"/>
            <w:rFonts w:ascii="Times New Roman" w:hAnsi="Times New Roman"/>
            <w:b w:val="false"/>
            <w:i w:val="false"/>
            <w:color w:val="000000"/>
            <w:sz w:val="22"/>
          </w:rPr>
          <w:t>113.2(11)</w:t>
        </w:r>
      </w:hyperlink>
      <w:r>
        <w:rPr>
          <w:rFonts w:ascii="Times New Roman" w:hAnsi="Times New Roman"/>
          <w:b w:val="false"/>
          <w:i w:val="false"/>
          <w:color w:val="000000"/>
          <w:sz w:val="22"/>
        </w:rPr>
        <w:t xml:space="preserve"> (relating to equivalency review procedure), the leachate collection system shall have a slope greater than or equal to 2 percent and not exceeding 33 percent.</w:t>
      </w:r>
    </w:p>
    <w:p>
      <w:pPr>
        <w:spacing w:before="60" w:after="0"/>
        <w:ind w:left="120"/>
        <w:jc w:val="center"/>
      </w:pPr>
      <w:r>
        <w:rPr>
          <w:rFonts w:ascii="Times New Roman" w:hAnsi="Times New Roman"/>
          <w:b w:val="false"/>
          <w:i w:val="false"/>
          <w:color w:val="000000"/>
          <w:sz w:val="22"/>
        </w:rPr>
        <w:t>Table I</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6928"/>
        <w:gridCol w:w="4262"/>
      </w:tblGrid>
      <w:tr>
        <w:trPr>
          <w:trHeight w:val="225" w:hRule="atLeast"/>
        </w:trPr>
        <w:tc>
          <w:tcPr>
            <w:tcW w:w="692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w:t>
            </w:r>
          </w:p>
        </w:tc>
        <w:tc>
          <w:tcPr>
            <w:tcW w:w="426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MCL (mg/l)</w:t>
            </w:r>
          </w:p>
        </w:tc>
      </w:tr>
      <w:tr>
        <w:trPr>
          <w:trHeight w:val="225"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Arsenic</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0.01</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Barium</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0.005</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Cadmium</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0.01</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Carbon tetrachloride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0.005</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Chromium (hexavalent)</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2,4-Dichlorophenoxy acetic acid</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1,4-Dichlorobenzene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0.075</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1,2-Dichloroethane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0.005</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1,1-Dichloroethylene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0.007</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Endrin</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0.0002</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Fluoride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Lindane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0.004</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Mercury</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0.002</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Methoxychlor</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Nitrate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Selenium</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0.01</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r>
        <w:trPr>
          <w:trHeight w:val="315"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Toxaphene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0.005</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1,1,1-Trichloromethane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Trichloroethylene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0.005</w:t>
            </w:r>
          </w:p>
        </w:tc>
      </w:tr>
      <w:tr>
        <w:trPr>
          <w:trHeight w:val="21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2,4,5-Trichlorophenoxy acetic acid</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0.01</w:t>
            </w:r>
          </w:p>
        </w:tc>
      </w:tr>
      <w:tr>
        <w:trPr>
          <w:trHeight w:val="225"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Vinyl chloride</w:t>
            </w:r>
          </w:p>
        </w:tc>
        <w:tc>
          <w:tcPr>
            <w:tcW w:w="4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Leachate collection system. </w:t>
      </w:r>
      <w:r>
        <w:rPr>
          <w:rFonts w:ascii="Times New Roman" w:hAnsi="Times New Roman"/>
          <w:b w:val="false"/>
          <w:i w:val="false"/>
          <w:color w:val="000000"/>
          <w:sz w:val="22"/>
        </w:rPr>
        <w:t>All MSWLF units shall have a leachate collection system that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and constructed to function for the entire active life of the facility and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of a structural strength capable of supporting waste and equipment loads throughout the active life of the facility and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and constructed to minimize leachate head over the liner at all times. An MSWLF unit shall have a leachate collection system that maintains less than a 30-centimeter (i.e., 12-inch) depth of leachate over the liner. The leachate collection system shall have a method for accurately measuring the leachate head on the liner at the system’s lowest point(s) within the MSWLF unit (e.g., sumps). Furthermore, an additional measuring device shall be installed to measure leachate directly on the liner in the least conductive drainage material outside of the sump and collection trench. Leachate head measurements from cleanout lines or manholes are not acceptable for the second measurement. All such measurement devices shall be in place before waste is placed in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leachate collection system is not designed and constructed factoring in leachate recirculation or bioreactor operations, the department may prohibit such activities within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collection pipes shall be of a length and cross-sectional area that allow for cleaning and inspection through the entire length of all collection pipes at least once every three years. The collection pipes shall not be designed or constructed with sharp bends that prevent cleaning or inspection along any section of the collection pipe or that may cause the collection pipe to be damaged during cleaning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Leachate collection system designs shall attempt to minimize the potential for clogging due to mass loading.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alternative design requirements are approved as part of the permit under </w:t>
      </w:r>
      <w:hyperlink r:id="rId97">
        <w:r>
          <w:rPr>
            <w:rStyle w:val="Hyperlink"/>
            <w:rFonts w:ascii="Times New Roman" w:hAnsi="Times New Roman"/>
            <w:b w:val="false"/>
            <w:i w:val="false"/>
            <w:color w:val="000000"/>
            <w:sz w:val="22"/>
          </w:rPr>
          <w:t>subrule 113.2(11)</w:t>
        </w:r>
      </w:hyperlink>
      <w:r>
        <w:rPr>
          <w:rFonts w:ascii="Times New Roman" w:hAnsi="Times New Roman"/>
          <w:b w:val="false"/>
          <w:i w:val="false"/>
          <w:color w:val="000000"/>
          <w:sz w:val="22"/>
        </w:rPr>
        <w:t xml:space="preserve"> (relating to equivalency review procedure), the following design requirements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geotextile cushion over the flexible membrane liner (FML), if the liner utilizes an FML and granular drainage media. A geotextile cushion is not required if the granular drainage media is well rounded and less than 3/8 inch in diameter. The geotextile’s mass shall be determined based on the allowable pressure on the geomembrane.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Collection pipe(s) at least 4 inches in diameter at the base of the liner slope(s), surrounded by the high hydraulic-conductivity material listed in numbered paragraph </w:t>
      </w:r>
      <w:hyperlink r:id="rId98">
        <w:r>
          <w:rPr>
            <w:rStyle w:val="Hyperlink"/>
            <w:rFonts w:ascii="Times New Roman" w:hAnsi="Times New Roman"/>
            <w:b w:val="false"/>
            <w:i w:val="false"/>
            <w:color w:val="000000"/>
            <w:sz w:val="22"/>
          </w:rPr>
          <w:t>113.7(5)</w:t>
        </w:r>
      </w:hyperlink>
      <w:r>
        <w:rPr>
          <w:rFonts w:ascii="Times New Roman" w:hAnsi="Times New Roman"/>
          <w:b w:val="false"/>
          <w:i/>
          <w:color w:val="000000"/>
          <w:sz w:val="22"/>
        </w:rPr>
        <w:t>“b”</w:t>
      </w:r>
      <w:r>
        <w:rPr>
          <w:rFonts w:ascii="Times New Roman" w:hAnsi="Times New Roman"/>
          <w:b w:val="false"/>
          <w:i w:val="false"/>
          <w:color w:val="000000"/>
          <w:sz w:val="22"/>
        </w:rPr>
        <w:t>(7)“3” below. The collection pipe shall have slots or holes large enough to minimize the potential for clogging from fines conveyed by incoming leachate.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of the following high hydraulic-conductivity materials: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High hydraulic-conductivity material (e.g., gravel) of uniform size and a fines content of no more than 5 percent by weight passing a #200 sieve. The high hydraulic-conductivity material shall be at least 12 inches in depth and have a hydraulic conductivity of at least 1 × 10</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cm/sec;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geosynthetic drainage media (e.g., geonet). The transmissivity of geonets shall be tested with method ASTM D4716, or an equivalent test method, to demonstrate that the design transmissivity will be maintained for the design period of the facility. The testing for the geonet in the liner system shall be conducted using actual boundary material intended for the geonet at the maximum design normal load for the MSWLF unit, and at the design load expected from one lift of waste. At the maximum design normal load, testing shall be conducted for a minimum period of 100 hours unless data equivalent of the 100-hour period is provided, in which case the test shall be conducted for a minimum period of one hour. In the case of the design load from one lift of waste, the minimum period shall be one hour. For geonets used in final covers, only one test shall be conducted for a minimum period of one hour using the expected maximum design normal load from the cover soils and the actual boundary materials intended for the geonet. A granular layer at least 12 inches thick with a hydraulic conductivity of at least 1 × 10</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cm/sec shall be placed above the geosynthetic drainage material that readily transmits leachate and provides separation between the waste and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Manholes within the MSWLF unit shall be designed to minimize the potential for stressing or penetrating the liner due to friction on the manhole exterior from waste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leachate drainage and collection system within the MSWLF unit shall not be used for the purpose of storing leachate. If leachate is to be stored, it shall be stored in designated storage structures outside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of the facility’s leachate storage and management structures outside of the MSWLF unit (e.g., tanks, holding ponds, pipes, sumps, manholes, lift stations) and operations shall have containment structures or countermeasures adequate to prevent seepage to groundwater or surface water. The containment structures and countermeasures for leachate storage shall be at least as protective of groundwater at the liner of the MSWLF unit on a performance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alternative design requirements are approved as part of the permit under subrule </w:t>
      </w:r>
      <w:hyperlink r:id="rId99">
        <w:r>
          <w:rPr>
            <w:rStyle w:val="Hyperlink"/>
            <w:rFonts w:ascii="Times New Roman" w:hAnsi="Times New Roman"/>
            <w:b w:val="false"/>
            <w:i w:val="false"/>
            <w:color w:val="000000"/>
            <w:sz w:val="22"/>
          </w:rPr>
          <w:t>113.2(11)</w:t>
        </w:r>
      </w:hyperlink>
      <w:r>
        <w:rPr>
          <w:rFonts w:ascii="Times New Roman" w:hAnsi="Times New Roman"/>
          <w:b w:val="false"/>
          <w:i w:val="false"/>
          <w:color w:val="000000"/>
          <w:sz w:val="22"/>
        </w:rPr>
        <w:t xml:space="preserve"> (relating to equivalency review procedure), the leachate storage structures shall be able to store at least 7 days of accumulated leachate at the maximum generation rate used in designing the leachate collection system. Such minimum storage capacity may be constructed in phases over time so long as the 7-day accumulation capacity is maintained. The storage facility shall also have the ability to load tanker trucks in case sanitary sewer service is unavailable for longer than 7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equipped with valves or devices similar in effectiveness so that leachate can be controlled during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accessible for maintenance at all times and under all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holder shall annually submit a Leachate Control System Performance Evaluation (LCSPE) Report as a supplement to the facility Annual Water Quality Report, as defined in subrule </w:t>
      </w:r>
      <w:hyperlink r:id="rId100">
        <w:r>
          <w:rPr>
            <w:rStyle w:val="Hyperlink"/>
            <w:rFonts w:ascii="Times New Roman" w:hAnsi="Times New Roman"/>
            <w:b w:val="false"/>
            <w:i w:val="false"/>
            <w:color w:val="000000"/>
            <w:sz w:val="22"/>
          </w:rPr>
          <w:t>113.10(10)</w:t>
        </w:r>
      </w:hyperlink>
      <w:r>
        <w:rPr>
          <w:rFonts w:ascii="Times New Roman" w:hAnsi="Times New Roman"/>
          <w:b w:val="false"/>
          <w:i w:val="false"/>
          <w:color w:val="000000"/>
          <w:sz w:val="22"/>
        </w:rPr>
        <w:t>. The report shall include an evaluation of the effectiveness of the system in controlling the leachate, leachate head levels and elevations, the volume of leachate collected and transported to the treatment works or discharged under any NPDES permits, records of leachate contaminants testing required by the treatment works, proposed additional leachate control measures, and an implementation schedule in the event that the constructed system is not performing effectively.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113.7(6)</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and assurance programs. </w:t>
      </w:r>
      <w:r>
        <w:rPr>
          <w:rFonts w:ascii="Times New Roman" w:hAnsi="Times New Roman"/>
          <w:b w:val="false"/>
          <w:i w:val="false"/>
          <w:color w:val="000000"/>
          <w:sz w:val="22"/>
        </w:rPr>
        <w:t xml:space="preserve">All MSWLF units shall be constructed under the supervision of a strict quality control and assurance (QC&amp;A) program to ensure that MSWLF units are constructed in accordance with the requirements of rule </w:t>
      </w:r>
      <w:hyperlink r:id="rId101">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(455B) and the approved plans and specifications. At a minimum, such a QC&amp;A program shall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designate a quality control and assurance (QC&amp;A) officer. The QC&amp;A officer shall be a professional engineer (P.E.) registered in Iowa. The QC&amp;A officer shall not be an employee of the facility, the construction company or construction contractor. The owner or operator shall notify the department of the designated QC&amp;A officer and provide the department with that person’s contact information. The QC&amp;A officer may delegate another person or persons who are not employees of the facility to supervise or implement an aspect of the QC&amp;A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QC&amp;A officer shall document compliance with rule </w:t>
      </w:r>
      <w:hyperlink r:id="rId102">
        <w:r>
          <w:rPr>
            <w:rStyle w:val="Hyperlink"/>
            <w:rFonts w:ascii="Times New Roman" w:hAnsi="Times New Roman"/>
            <w:b w:val="false"/>
            <w:i w:val="false"/>
            <w:color w:val="000000"/>
            <w:sz w:val="22"/>
          </w:rPr>
          <w:t>567—113.7(455B)</w:t>
        </w:r>
      </w:hyperlink>
      <w:r>
        <w:rPr>
          <w:rFonts w:ascii="Times New Roman" w:hAnsi="Times New Roman"/>
          <w:b w:val="false"/>
          <w:i w:val="false"/>
          <w:color w:val="000000"/>
          <w:sz w:val="22"/>
        </w:rPr>
        <w:t>, and the approved plans and specifications, for the following aspects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MSWLF unit’s subgrade.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liner system, as applicable,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flexible membrane liner (FML). Destructive testing of the FML shall be kept to side slopes when continuous seams are utilized. Patches over FML destructive testing areas shall be checked with nondestructive methods.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compacted clay component of the liner system. A minimum of five field moisture density tests per 8-inch lift per acre shall be performed to verify that the correct density, as correlated to permeability by a laboratory analysis, has been achieved. Laboratory hydraulic conductivity testing of Shelby tube samples from the constructed soil liner or test pad, or field hydraulic conductivity testing of the constructed soil liner or test pad, or other methods approved by the department, shall be utilized as a QC&amp;A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conveyance and storage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aspect of construction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sampling and testing program shall be implemented by the QC&amp;A officer as part of the QC&amp;A program. The sampling and testing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full compliance with the requirements of rule </w:t>
      </w:r>
      <w:hyperlink r:id="rId103">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approved by the department prior to construction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 how each stage of construction will be verified for full compliance with the requirements of rule </w:t>
      </w:r>
      <w:hyperlink r:id="rId104">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based on statistically significant sampling techniques and establish criteria for the acceptance or rejection of materials and constructed components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 what actions will take place to remedy and verify any material or constructed component that is not in compliance with the requirements of rule </w:t>
      </w:r>
      <w:hyperlink r:id="rId105">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QC&amp;A officer shall document the QC&amp;A program. Upon completion of the MSWLF unit construction, the QC&amp;A officer shall submit a final report to the department that verifies compliance with the requirements of rule </w:t>
      </w:r>
      <w:hyperlink r:id="rId106">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(455B), and the approved plans and specifications. A copy of the final report shall also be maintained by the facility in the operating record. At a minimum, the final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title page and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permit number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QC&amp;A officer and persons delegated by the QC&amp;A officer to supervise or implement an aspect of the QC&amp;A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all construction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Copies of daily reports containing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Summary of weather conditions.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Summary of locations on the facility where construction was occurring.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Summary of equipment, materials and personnel utilized in construction.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Summary of meetings held regarding the construction of the MSWLF unit.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Summary of construction progress.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Photographs of the construction progress, with descriptions of the time, subject matter and location of each photograph.</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Details of sampling and testing program for that day. At a minimum, this report shall include details of where sampling and testing occurred, the methods utilized, personnel involved and test results.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Details of how any material or constructed component that was found not to be in compliance via the sampling and testing program was remedied.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detailed as-built drawings with supporting documentation and photographic evidence. This copy shall also include a narrative explanation of changes from the original department-approved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signed and sealed statement by the QC&amp;A officer that the MSWLF unit was constructed in accordance with the requirements of rule </w:t>
      </w:r>
      <w:hyperlink r:id="rId107">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113.7(7)</w:t>
      </w:r>
      <w:r>
        <w:rPr>
          <w:rFonts w:ascii="Times New Roman" w:hAnsi="Times New Roman"/>
          <w:b w:val="false"/>
          <w:i w:val="false"/>
          <w:color w:val="000000"/>
          <w:sz w:val="22"/>
        </w:rPr>
        <w:t> </w:t>
      </w:r>
      <w:r>
        <w:rPr>
          <w:rFonts w:ascii="Times New Roman" w:hAnsi="Times New Roman"/>
          <w:b w:val="false"/>
          <w:i/>
          <w:color w:val="000000"/>
          <w:sz w:val="22"/>
        </w:rPr>
        <w:t xml:space="preserve">Vertical and horizontal expansions of MSWLF units. </w:t>
      </w:r>
      <w:r>
        <w:rPr>
          <w:rFonts w:ascii="Times New Roman" w:hAnsi="Times New Roman"/>
          <w:b w:val="false"/>
          <w:i w:val="false"/>
          <w:color w:val="000000"/>
          <w:sz w:val="22"/>
        </w:rPr>
        <w:t>All vertical and horizontal expansions of disposal airspace over existing and new MSWLF units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Horizontal expansions shall, at a minimum,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Horizontal expansions are new MSWLF units and, at a minimum, shall be designed and constructed in accordance with subrules </w:t>
      </w:r>
      <w:hyperlink r:id="rId108">
        <w:r>
          <w:rPr>
            <w:rStyle w:val="Hyperlink"/>
            <w:rFonts w:ascii="Times New Roman" w:hAnsi="Times New Roman"/>
            <w:b w:val="false"/>
            <w:i w:val="false"/>
            <w:color w:val="000000"/>
            <w:sz w:val="22"/>
          </w:rPr>
          <w:t>113.7(4)</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113.7(5)</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113.7(6)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slope stability of the horizontal expansion between the existing unit and new MSWLF unit shall be analyzed. The interface between two MSWLF units shall not cause a slope failure of either of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horizontal expansion may include a vertical elevation increase of an existing MSWLF unit, pursuant to paragraph </w:t>
      </w:r>
      <w:hyperlink r:id="rId111">
        <w:r>
          <w:rPr>
            <w:rStyle w:val="Hyperlink"/>
            <w:rFonts w:ascii="Times New Roman" w:hAnsi="Times New Roman"/>
            <w:b w:val="false"/>
            <w:i w:val="false"/>
            <w:color w:val="000000"/>
            <w:sz w:val="22"/>
          </w:rPr>
          <w:t>113.7(7)</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Vertical expansions shall, at a minimum,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vertical expansion of an MSWLF unit shall not be allowed if the MSWLF unit does not have an approved leachate collection system and a composite liner or a leachate collection system and an alternative liner modeled at an approved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structural impacts of the proposed vertical expansion on the liner and leachate collection system shall be completed. The vertical expansion shall not contribute to the structural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analysis of the impact of the proposed vertical expansion on leachate generation shall be completed. The vertical expansion shall not overload the leachate collection system or contribute to excess head on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analysis of the effect of the proposed vertical expansion on run-on, runoff and discharges into waters of the state shall be completed. The vertical expansion shall not cause a violation of subrule </w:t>
      </w:r>
      <w:hyperlink r:id="rId112">
        <w:r>
          <w:rPr>
            <w:rStyle w:val="Hyperlink"/>
            <w:rFonts w:ascii="Times New Roman" w:hAnsi="Times New Roman"/>
            <w:b w:val="false"/>
            <w:i w:val="false"/>
            <w:color w:val="000000"/>
            <w:sz w:val="22"/>
          </w:rPr>
          <w:t>113.7(8)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vertical expansion shall be in compliance with the final slopes required at closure pursuant to paragraph </w:t>
      </w:r>
      <w:hyperlink r:id="rId113">
        <w:r>
          <w:rPr>
            <w:rStyle w:val="Hyperlink"/>
            <w:rFonts w:ascii="Times New Roman" w:hAnsi="Times New Roman"/>
            <w:b w:val="false"/>
            <w:i w:val="false"/>
            <w:color w:val="000000"/>
            <w:sz w:val="22"/>
          </w:rPr>
          <w:t>113.12(1)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analysis of the potential impact of the proposed vertical expansion on litter generation shall be completed. Landfill management strategies may need to be amended to help prevent increased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analysis of the impact of the proposed vertical expansion on lines-of-sight and any visual buffering utilized by the landfill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113.7(8)</w:t>
      </w:r>
      <w:r>
        <w:rPr>
          <w:rFonts w:ascii="Times New Roman" w:hAnsi="Times New Roman"/>
          <w:b w:val="false"/>
          <w:i w:val="false"/>
          <w:color w:val="000000"/>
          <w:sz w:val="22"/>
        </w:rPr>
        <w:t> </w:t>
      </w:r>
      <w:r>
        <w:rPr>
          <w:rFonts w:ascii="Times New Roman" w:hAnsi="Times New Roman"/>
          <w:b w:val="false"/>
          <w:i/>
          <w:color w:val="000000"/>
          <w:sz w:val="22"/>
        </w:rPr>
        <w:t xml:space="preserve">Run-on and runoff control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all MSWLF units must design, construct, and maintain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run-on control system to prevent flow onto the active portion of the landfill during the peak discharge from a 25-year storm;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runoff control system from the active portion of the landfill to collect and control at least the water volume resulting from a 24-hour, 25-year storm.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Runoff from the active portion of the MSWLF unit must be handled in accordance with paragraph </w:t>
      </w:r>
      <w:hyperlink r:id="rId114">
        <w:r>
          <w:rPr>
            <w:rStyle w:val="Hyperlink"/>
            <w:rFonts w:ascii="Times New Roman" w:hAnsi="Times New Roman"/>
            <w:b w:val="false"/>
            <w:i w:val="false"/>
            <w:color w:val="000000"/>
            <w:sz w:val="22"/>
          </w:rPr>
          <w:t>113.10(1)</w:t>
        </w:r>
      </w:hyperlink>
      <w:r>
        <w:rPr>
          <w:rFonts w:ascii="Times New Roman" w:hAnsi="Times New Roman"/>
          <w:b w:val="false"/>
          <w:i/>
          <w:color w:val="000000"/>
          <w:sz w:val="22"/>
        </w:rPr>
        <w:t>“a.”</w:t>
      </w:r>
    </w:p>
    <w:p>
      <w:pPr>
        <w:spacing w:before="0" w:after="0"/>
        <w:ind w:left="120"/>
        <w:jc w:val="both"/>
      </w:pPr>
      <w:r>
        <w:rPr>
          <w:rFonts w:ascii="Times New Roman" w:hAnsi="Times New Roman"/>
          <w:b/>
          <w:i w:val="false"/>
          <w:color w:val="000000"/>
          <w:sz w:val="22"/>
        </w:rPr>
        <w:t>567—113.8</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The requirements of this rule shall be consolidated in a development and operations plan (DOPs) pursuant to subrule </w:t>
      </w:r>
      <w:hyperlink r:id="rId115">
        <w:r>
          <w:rPr>
            <w:rStyle w:val="Hyperlink"/>
            <w:rFonts w:ascii="Times New Roman" w:hAnsi="Times New Roman"/>
            <w:b w:val="false"/>
            <w:i w:val="false"/>
            <w:color w:val="000000"/>
            <w:sz w:val="22"/>
          </w:rPr>
          <w:t>113.8(4)</w:t>
        </w:r>
      </w:hyperlink>
      <w:r>
        <w:rPr>
          <w:rFonts w:ascii="Times New Roman" w:hAnsi="Times New Roman"/>
          <w:b w:val="false"/>
          <w:i w:val="false"/>
          <w:color w:val="000000"/>
          <w:sz w:val="22"/>
        </w:rPr>
        <w:t xml:space="preserve"> and the emergency response and remedial action plan (ERRAP) pursuant to subrule </w:t>
      </w:r>
      <w:hyperlink r:id="rId116">
        <w:r>
          <w:rPr>
            <w:rStyle w:val="Hyperlink"/>
            <w:rFonts w:ascii="Times New Roman" w:hAnsi="Times New Roman"/>
            <w:b w:val="false"/>
            <w:i w:val="false"/>
            <w:color w:val="000000"/>
            <w:sz w:val="22"/>
          </w:rPr>
          <w:t>113.8(5)</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113.8(1)</w:t>
      </w:r>
      <w:r>
        <w:rPr>
          <w:rFonts w:ascii="Times New Roman" w:hAnsi="Times New Roman"/>
          <w:b w:val="false"/>
          <w:i w:val="false"/>
          <w:color w:val="000000"/>
          <w:sz w:val="22"/>
        </w:rPr>
        <w:t> </w:t>
      </w:r>
      <w:r>
        <w:rPr>
          <w:rFonts w:ascii="Times New Roman" w:hAnsi="Times New Roman"/>
          <w:b w:val="false"/>
          <w:i/>
          <w:color w:val="000000"/>
          <w:sz w:val="22"/>
        </w:rPr>
        <w:t xml:space="preserve">Prohibited operations and activities. </w:t>
      </w:r>
      <w:r>
        <w:rPr>
          <w:rFonts w:ascii="Times New Roman" w:hAnsi="Times New Roman"/>
          <w:b w:val="false"/>
          <w:i w:val="false"/>
          <w:color w:val="000000"/>
          <w:sz w:val="22"/>
        </w:rPr>
        <w:t xml:space="preserve">For the purposes of this subrule, “regulated hazardous waste” means a solid waste that is a hazardous waste, as defined in Iowa Code section </w:t>
      </w:r>
      <w:hyperlink r:id="rId117">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Waste screening for prohibited materials. </w:t>
      </w:r>
      <w:r>
        <w:rPr>
          <w:rFonts w:ascii="Times New Roman" w:hAnsi="Times New Roman"/>
          <w:b w:val="false"/>
          <w:i w:val="false"/>
          <w:color w:val="000000"/>
          <w:sz w:val="22"/>
        </w:rPr>
        <w:t xml:space="preserve">Owners or operators of all MSWLF units must implement a program at the facility for detecting and preventing the disposal of regulated hazardous wastes, polychlorinated biphenyls (PCB) wastes and other prohibited wastes listed in paragraph </w:t>
      </w:r>
      <w:hyperlink r:id="rId118">
        <w:r>
          <w:rPr>
            <w:rStyle w:val="Hyperlink"/>
            <w:rFonts w:ascii="Times New Roman" w:hAnsi="Times New Roman"/>
            <w:b w:val="false"/>
            <w:i w:val="false"/>
            <w:color w:val="000000"/>
            <w:sz w:val="22"/>
          </w:rPr>
          <w:t>113.8(1)</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program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Random inspections of incoming loads unless the owner or operator takes other steps to ensure that incoming loads do not contain regulated hazardous wastes, PCB wastes or other prohibited wastes listed in paragraph </w:t>
      </w:r>
      <w:hyperlink r:id="rId119">
        <w:r>
          <w:rPr>
            <w:rStyle w:val="Hyperlink"/>
            <w:rFonts w:ascii="Times New Roman" w:hAnsi="Times New Roman"/>
            <w:b w:val="false"/>
            <w:i w:val="false"/>
            <w:color w:val="000000"/>
            <w:sz w:val="22"/>
          </w:rPr>
          <w:t>113.8(1)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any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of facility personnel to recognize regulated hazardous wastes, PCB wastes and other prohibited wastes listed in paragraph </w:t>
      </w:r>
      <w:hyperlink r:id="rId120">
        <w:r>
          <w:rPr>
            <w:rStyle w:val="Hyperlink"/>
            <w:rFonts w:ascii="Times New Roman" w:hAnsi="Times New Roman"/>
            <w:b w:val="false"/>
            <w:i w:val="false"/>
            <w:color w:val="000000"/>
            <w:sz w:val="22"/>
          </w:rPr>
          <w:t>113.8(1)</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of the EPA regional administrator if regulated hazardous wastes or PCB wastes are discovered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Materials prohibited from disposal. </w:t>
      </w:r>
      <w:r>
        <w:rPr>
          <w:rFonts w:ascii="Times New Roman" w:hAnsi="Times New Roman"/>
          <w:b w:val="false"/>
          <w:i w:val="false"/>
          <w:color w:val="000000"/>
          <w:sz w:val="22"/>
        </w:rPr>
        <w:t>The following wastes shall not be accepted for disposal by an MSWLF. Some wastes may be banned from disposal via the multiple categories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Hazardous waste, whether it is a chemical compound specifically listed by EPA as a regulated hazardous waste or a characteristic hazardous waste pursuant to the characteristics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Ignitable in that the waste has a flash point (i.e., it will ignite) at a temperature of less than 140 degrees Fahrenheit.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Corrosive in that the waste has a pH less than 2 or greater than 12.5.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Reactive in that the waste is normally unstable; reacts violently with water; forms an explosive mixture with water; contains quantities of cyanide or sulfur that could be released into the air in sufficient quantity to be a danger to human health; or can easily be detonated or exploded.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Toxicity characteristic leaching procedure (TCLP) (EPA Method 1311) toxic, in that a TCLP listed chemical constituent exceeds the EPA assigned concentration standard in 40 CFR Part 261 or the department assigned concentration standard in Table I of rule </w:t>
      </w:r>
      <w:hyperlink r:id="rId121">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(455B). Waste from a residential building that is contaminated by lead-based paint (i.e., the waste fails the TCLP test for lead only) may be disposed of in an MSWLF unit. The purpose of this exclusion is to help prevent the exposure of children to lead-based paint. Therefore, the meaning of “residential building” in regard to this TCLP exclusion shall be interpreted broadly and include any building which children or parents may utilize as a residence (temporarily or permanently). Such residential buildings include, but are not limited to, single-family homes, apartment buildings, townhomes, condominiums, public housing, military barracks, nursing homes, hotels, motels, bunkhouses, and campground cabins.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Polychlorinated biphenyl (PCB) wastes with a concentration equal to or greater than 50 parts per million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Free liquids, liquid waste and containerized liquids. For purposes of this subparagraph, “liquid waste” means any waste material that is determined to contain “free liquids” as defined by Method 9095B (Paint Filter Liquids Test), as described in Test Methods for Evaluating Solid Wastes, Physical/Chemical Methods (EPA Pub.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SW-846). For the purposes of this subparagraph, “gas condensate” means the liquid generated as a result of the gas recovery process(es) at the MSWLF unit. However, free liquids and containerized liquids may be placed in MSWLF units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containerized liquid is household waste other than septic waste. The container must be a small container similar in size to that normally found in household waste;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waste is leachate or gas condensate derived from the MSWLF unit, whether it is a new or existing MSWLF unit or lateral expansion, and is designed with a composite liner and leachate collection system as described in paragraph </w:t>
      </w:r>
      <w:hyperlink r:id="rId122">
        <w:r>
          <w:rPr>
            <w:rStyle w:val="Hyperlink"/>
            <w:rFonts w:ascii="Times New Roman" w:hAnsi="Times New Roman"/>
            <w:b w:val="false"/>
            <w:i w:val="false"/>
            <w:color w:val="000000"/>
            <w:sz w:val="22"/>
          </w:rPr>
          <w:t>113.7(5)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 or operator must demonstrate compliance with this subparagraph and place the demonstration in the operating record;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MSWLF unit is a research, development and demonstration (RD&amp;D) project in which the department has authorized the addition of liquids and meets the applicable requirements of subrule </w:t>
      </w:r>
      <w:hyperlink r:id="rId123">
        <w:r>
          <w:rPr>
            <w:rStyle w:val="Hyperlink"/>
            <w:rFonts w:ascii="Times New Roman" w:hAnsi="Times New Roman"/>
            <w:b w:val="false"/>
            <w:i w:val="false"/>
            <w:color w:val="000000"/>
            <w:sz w:val="22"/>
          </w:rPr>
          <w:t>113.4(10)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Septage, which is the raw material, liquids and pumpings from a septic system, unless treated pursuant to </w:t>
      </w:r>
      <w:hyperlink r:id="rId124">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Appliances as defined pursuant to </w:t>
      </w:r>
      <w:hyperlink r:id="rId125">
        <w:r>
          <w:rPr>
            <w:rStyle w:val="Hyperlink"/>
            <w:rFonts w:ascii="Times New Roman" w:hAnsi="Times New Roman"/>
            <w:b w:val="false"/>
            <w:i w:val="false"/>
            <w:color w:val="000000"/>
            <w:sz w:val="22"/>
          </w:rPr>
          <w:t>567—Chapter 118</w:t>
        </w:r>
      </w:hyperlink>
      <w:r>
        <w:rPr>
          <w:rFonts w:ascii="Times New Roman" w:hAnsi="Times New Roman"/>
          <w:b w:val="false"/>
          <w:i w:val="false"/>
          <w:color w:val="000000"/>
          <w:sz w:val="22"/>
        </w:rPr>
        <w:t xml:space="preserve">, unless there is documentation that the appliance has been demanufactured pursuant to </w:t>
      </w:r>
      <w:hyperlink r:id="rId126">
        <w:r>
          <w:rPr>
            <w:rStyle w:val="Hyperlink"/>
            <w:rFonts w:ascii="Times New Roman" w:hAnsi="Times New Roman"/>
            <w:b w:val="false"/>
            <w:i w:val="false"/>
            <w:color w:val="000000"/>
            <w:sz w:val="22"/>
          </w:rPr>
          <w:t>567—Chapter 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Radioactive waste, excluding luminous timepieces and other items using very small amounts of tritium.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Infectious waste, unless managed and disposed of pursuant to </w:t>
      </w:r>
      <w:hyperlink r:id="rId127">
        <w:r>
          <w:rPr>
            <w:rStyle w:val="Hyperlink"/>
            <w:rFonts w:ascii="Times New Roman" w:hAnsi="Times New Roman"/>
            <w:b w:val="false"/>
            <w:i w:val="false"/>
            <w:color w:val="000000"/>
            <w:sz w:val="22"/>
          </w:rPr>
          <w:t>567—Chapter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Hot loads, meaning solid waste that is smoking, smoldering, emitting flames or hot gases, or otherwise indicating that the solid waste is in the process of combustion or close to igniting. Ash that has not been fully quenched or cooled is considered a hot load. Such wastes may be accepted at the gate, but shall be segregated and completely extinguished and cooled in a manner as safe and responsible as practical before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Asbestos-containing material (ACM) waste with greater than 1 percent asbestos, unless managed and disposed of pursuant to </w:t>
      </w:r>
      <w:hyperlink r:id="rId128">
        <w:r>
          <w:rPr>
            <w:rStyle w:val="Hyperlink"/>
            <w:rFonts w:ascii="Times New Roman" w:hAnsi="Times New Roman"/>
            <w:b w:val="false"/>
            <w:i w:val="false"/>
            <w:color w:val="000000"/>
            <w:sz w:val="22"/>
          </w:rPr>
          <w:t>567—Chapter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Petroleum-contaminated soil, unless managed and remediated pursuant to </w:t>
      </w:r>
      <w:hyperlink r:id="rId129">
        <w:r>
          <w:rPr>
            <w:rStyle w:val="Hyperlink"/>
            <w:rFonts w:ascii="Times New Roman" w:hAnsi="Times New Roman"/>
            <w:b w:val="false"/>
            <w:i w:val="false"/>
            <w:color w:val="000000"/>
            <w:sz w:val="22"/>
          </w:rPr>
          <w:t>567—Chapter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Grit and bar screenings, and grease skimmings, unless managed and disposed of pursuant to </w:t>
      </w:r>
      <w:hyperlink r:id="rId130">
        <w:r>
          <w:rPr>
            <w:rStyle w:val="Hyperlink"/>
            <w:rFonts w:ascii="Times New Roman" w:hAnsi="Times New Roman"/>
            <w:b w:val="false"/>
            <w:i w:val="false"/>
            <w:color w:val="000000"/>
            <w:sz w:val="22"/>
          </w:rPr>
          <w:t>567—Chapter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Waste tires, unless each tire is processed into pieces no longer than 18 inches on any side. The department encourages the recycling of all waste tires, even if processed to disposal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Yard waste, except in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yard waste is collected for disposal as a result of a severe storm and the yard waste originates in an area declared to be a disaster area in a declaration issued by the President of the United States or the governor.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yard waste is collected for disposal to control, eradicate, or prevent the spread of insect pests, tree and plant diseases, or invasive plant species.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the yard waste is disposed of in a sanitary landfill that operates a methane collection system that produces energy. A methane collection system that burns landfill gas without using the energy for a purpose other than reducing the amount of methane released is not considered to be a system that produces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Lead-acid batteries.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Waste oil and materials containing free-flowing waste oil. Materials contaminated with waste oil may be disposed of if no free-flowing oil is retained in the material, and the material is not a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Baled solid waste, unless the waste is baled on site after the waste has been visually inspected for prohibited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Open burning and fire hazards. </w:t>
      </w:r>
      <w:r>
        <w:rPr>
          <w:rFonts w:ascii="Times New Roman" w:hAnsi="Times New Roman"/>
          <w:b w:val="false"/>
          <w:i w:val="false"/>
          <w:color w:val="000000"/>
          <w:sz w:val="22"/>
        </w:rPr>
        <w:t>No open burning of any type shall be allowed within the permitted boundary of an MSWLF facility. The fueling of vehicles and equipment, and any other activity that may produce sparks or flame, shall be conducted at least 50 feet away from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Scavenging and salvaging. </w:t>
      </w:r>
      <w:r>
        <w:rPr>
          <w:rFonts w:ascii="Times New Roman" w:hAnsi="Times New Roman"/>
          <w:b w:val="false"/>
          <w:i w:val="false"/>
          <w:color w:val="000000"/>
          <w:sz w:val="22"/>
        </w:rPr>
        <w:t>Scavenging shall not be allowed at the MSWLF facility. However, salvaging by MSWLF operators may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Animal feeding and grazing. </w:t>
      </w:r>
      <w:r>
        <w:rPr>
          <w:rFonts w:ascii="Times New Roman" w:hAnsi="Times New Roman"/>
          <w:b w:val="false"/>
          <w:i w:val="false"/>
          <w:color w:val="000000"/>
          <w:sz w:val="22"/>
        </w:rPr>
        <w:t>Feeding animals MSW shall not be allowed at an MSWLF facility. The grazing of domestic animals on fully vegetated areas of the MSWLF facility not used for disposal, including closed MSWLF units, may be allowed by the department so long as the animals do not cause damage or interfere with operations, inspections, environmental monitoring and other required activities. Large, hoofed animals (including but not limited to buffalo, cattle, llamas, pigs, and horses) shall not be allowed on closed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113.8(2)</w:t>
      </w:r>
      <w:r>
        <w:rPr>
          <w:rFonts w:ascii="Times New Roman" w:hAnsi="Times New Roman"/>
          <w:b w:val="false"/>
          <w:i w:val="false"/>
          <w:color w:val="000000"/>
          <w:sz w:val="22"/>
        </w:rPr>
        <w:t> </w:t>
      </w:r>
      <w:r>
        <w:rPr>
          <w:rFonts w:ascii="Times New Roman" w:hAnsi="Times New Roman"/>
          <w:b w:val="false"/>
          <w:i/>
          <w:color w:val="000000"/>
          <w:sz w:val="22"/>
        </w:rPr>
        <w:t xml:space="preserve">Disposal operations and activities. </w:t>
      </w:r>
      <w:r>
        <w:rPr>
          <w:rFonts w:ascii="Times New Roman" w:hAnsi="Times New Roman"/>
          <w:b w:val="false"/>
          <w:i w:val="false"/>
          <w:color w:val="000000"/>
          <w:sz w:val="22"/>
        </w:rPr>
        <w:t>All MSWLFs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Survey controls and monuments. </w:t>
      </w:r>
      <w:r>
        <w:rPr>
          <w:rFonts w:ascii="Times New Roman" w:hAnsi="Times New Roman"/>
          <w:b w:val="false"/>
          <w:i w:val="false"/>
          <w:color w:val="000000"/>
          <w:sz w:val="22"/>
        </w:rPr>
        <w:t>Survey controls and monuments shall be maintained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property boundary, the permitted boundary and the boundaries of all MSWLF units shall be surveyed and marked by a professional land surveyor at least once prior to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waste placement, all new MSWLF unit boundaries shall be surveyed and marked by a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Survey monuments shall be established to check vertical elevations and the progression of fill sequencing. The survey monuments shall be established and maintained by a professional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survey stakes and monuments shall be clearly marked.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professional engineer shall biennially inspect all survey monuments and replace missing or damaged survey monuments.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First lift. </w:t>
      </w:r>
      <w:r>
        <w:rPr>
          <w:rFonts w:ascii="Times New Roman" w:hAnsi="Times New Roman"/>
          <w:b w:val="false"/>
          <w:i w:val="false"/>
          <w:color w:val="000000"/>
          <w:sz w:val="22"/>
        </w:rPr>
        <w:t>The first lift and initial placement of MSW over a new MSWLF unit liner and leachate collection system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placed in the new MSWLF unit until the QC&amp;A officer has submitted a signed and sealed final report to the department pursuant to paragraph </w:t>
      </w:r>
      <w:hyperlink r:id="rId131">
        <w:r>
          <w:rPr>
            <w:rStyle w:val="Hyperlink"/>
            <w:rFonts w:ascii="Times New Roman" w:hAnsi="Times New Roman"/>
            <w:b w:val="false"/>
            <w:i w:val="false"/>
            <w:color w:val="000000"/>
            <w:sz w:val="22"/>
          </w:rPr>
          <w:t>113.7(6)</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that report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Construction and earth-moving equipment shall not operate directly on the liner and leachate management system. Waste disposal operations shall begin at the edge of the new MSWLF unit by pushing MSW out over the liner and leachate collection system. Compactors and other similarly heavy equipment shall not operate directly on the leachate collection system until a minimum of 4 feet of waste has been mounded over the top of the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Construction and demolition debris and materials clearly capable of spearing through the leachate collection system and liner shall not be placed in the first 4 feet of waste over the top of the leachate collection system. The first 4 feet of waste shall consist of select waste that is unlikely to damage the liner and performance of the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place documentation in the operating record and submit a copy to the department that adequate cover material was placed over the top of the leachate collection system in the MSWLF unit or that freeze/thaw effects had no adverse impact on the compacted clay component of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Fill sequencing. </w:t>
      </w:r>
      <w:r>
        <w:rPr>
          <w:rFonts w:ascii="Times New Roman" w:hAnsi="Times New Roman"/>
          <w:b w:val="false"/>
          <w:i w:val="false"/>
          <w:color w:val="000000"/>
          <w:sz w:val="22"/>
        </w:rPr>
        <w:t>The rate and phasing of disposal operations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fill sequencing shall be planned and conducted in a manner and at a rate that do not cause a slope failure, lead to extreme differential settlement, or damage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fill sequencing shall be planned and conducted in a manner compliant with the run-on and runoff requirements of subrule </w:t>
      </w:r>
      <w:hyperlink r:id="rId132">
        <w:r>
          <w:rPr>
            <w:rStyle w:val="Hyperlink"/>
            <w:rFonts w:ascii="Times New Roman" w:hAnsi="Times New Roman"/>
            <w:b w:val="false"/>
            <w:i w:val="false"/>
            <w:color w:val="000000"/>
            <w:sz w:val="22"/>
          </w:rPr>
          <w:t>113.7(8)</w:t>
        </w:r>
      </w:hyperlink>
      <w:r>
        <w:rPr>
          <w:rFonts w:ascii="Times New Roman" w:hAnsi="Times New Roman"/>
          <w:b w:val="false"/>
          <w:i w:val="false"/>
          <w:color w:val="000000"/>
          <w:sz w:val="22"/>
        </w:rPr>
        <w:t xml:space="preserve"> and surface water requirements of rule </w:t>
      </w:r>
      <w:hyperlink r:id="rId133">
        <w:r>
          <w:rPr>
            <w:rStyle w:val="Hyperlink"/>
            <w:rFonts w:ascii="Times New Roman" w:hAnsi="Times New Roman"/>
            <w:b w:val="false"/>
            <w:i w:val="false"/>
            <w:color w:val="000000"/>
            <w:sz w:val="22"/>
          </w:rPr>
          <w:t>567—113.10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Working face. </w:t>
      </w:r>
      <w:r>
        <w:rPr>
          <w:rFonts w:ascii="Times New Roman" w:hAnsi="Times New Roman"/>
          <w:b w:val="false"/>
          <w:i w:val="false"/>
          <w:color w:val="000000"/>
          <w:sz w:val="22"/>
        </w:rPr>
        <w:t>The working face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working face shall be no larger than necessary to accommodate the rate of disposal in a safe and efficient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working face shall not be so steep as to cause heavy equipment and solid waste collection vehicles to roll over or otherwise lose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Litter control devices of sufficient size to help prevent blowing litter shall be utilized at the working face. The operation of the working face shall attempt to minimize blowing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operation of the working face shall prevent the harborage of vectors and attempt to minimize the attraction of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at the working face shall be trained to visually recognize universal symbols, markings and indications of prohibited wastes pursuant to paragraph </w:t>
      </w:r>
      <w:hyperlink r:id="rId134">
        <w:r>
          <w:rPr>
            <w:rStyle w:val="Hyperlink"/>
            <w:rFonts w:ascii="Times New Roman" w:hAnsi="Times New Roman"/>
            <w:b w:val="false"/>
            <w:i w:val="false"/>
            <w:color w:val="000000"/>
            <w:sz w:val="22"/>
          </w:rPr>
          <w:t>113.8(1)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Special wastes. </w:t>
      </w:r>
      <w:r>
        <w:rPr>
          <w:rFonts w:ascii="Times New Roman" w:hAnsi="Times New Roman"/>
          <w:b w:val="false"/>
          <w:i w:val="false"/>
          <w:color w:val="000000"/>
          <w:sz w:val="22"/>
        </w:rPr>
        <w:t xml:space="preserve">Special wastes shall be managed and disposed of pursuant to </w:t>
      </w:r>
      <w:hyperlink r:id="rId135">
        <w:r>
          <w:rPr>
            <w:rStyle w:val="Hyperlink"/>
            <w:rFonts w:ascii="Times New Roman" w:hAnsi="Times New Roman"/>
            <w:b w:val="false"/>
            <w:i w:val="false"/>
            <w:color w:val="000000"/>
            <w:sz w:val="22"/>
          </w:rPr>
          <w:t>567—Chapter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Cover material and alternative cover material. </w:t>
      </w:r>
      <w:r>
        <w:rPr>
          <w:rFonts w:ascii="Times New Roman" w:hAnsi="Times New Roman"/>
          <w:b w:val="false"/>
          <w:i w:val="false"/>
          <w:color w:val="000000"/>
          <w:sz w:val="22"/>
        </w:rPr>
        <w:t xml:space="preserve">Pursuant to </w:t>
      </w:r>
      <w:hyperlink r:id="rId136">
        <w:r>
          <w:rPr>
            <w:rStyle w:val="Hyperlink"/>
            <w:rFonts w:ascii="Times New Roman" w:hAnsi="Times New Roman"/>
            <w:b w:val="false"/>
            <w:i w:val="false"/>
            <w:color w:val="000000"/>
            <w:sz w:val="22"/>
          </w:rPr>
          <w:t>567—Chapter 108</w:t>
        </w:r>
      </w:hyperlink>
      <w:r>
        <w:rPr>
          <w:rFonts w:ascii="Times New Roman" w:hAnsi="Times New Roman"/>
          <w:b w:val="false"/>
          <w:i w:val="false"/>
          <w:color w:val="000000"/>
          <w:sz w:val="22"/>
        </w:rPr>
        <w:t xml:space="preserve">, alternative cover material of an alternative thickness (e.g., tarps, spray covers) may be authorized if the owner or operator demonstrates to the approval of the department that the alternative material and thickness control vectors, fires, odors, blowing litter, and scavenging without presenting a threat to human health and the environment. Cover material or alternative cover material shall be available for use during all seasons in all types of weather. Cover material and alternative cover material shall be utilized as follows unless otherwise approved by the department pursuant to </w:t>
      </w:r>
      <w:hyperlink r:id="rId137">
        <w:r>
          <w:rPr>
            <w:rStyle w:val="Hyperlink"/>
            <w:rFonts w:ascii="Times New Roman" w:hAnsi="Times New Roman"/>
            <w:b w:val="false"/>
            <w:i w:val="false"/>
            <w:color w:val="000000"/>
            <w:sz w:val="22"/>
          </w:rPr>
          <w:t>567—Chapter 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cover. Six inches of cover material or an approved depth or application of alternative cover material shall be placed and maintained over waste in the active portion at the end of each operating day, or at more frequent intervals if necessary, to control vectors, fires, odors, blowing litter, and scavenging.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Intermediate cover. At least 1 foot of compacted cover material or an approved depth or application of alternative cover material shall be placed and maintained over waste in the active portion that has not or will not receive more waste for at least 30 days. At least 2 feet of compacted cover material or alternative cover material shall be placed and maintained over waste in the active portion that has not or will not receive waste for at least 180 days. Such active portions shall be graded to manage run-on and runoff pursuant to subrule </w:t>
      </w:r>
      <w:hyperlink r:id="rId138">
        <w:r>
          <w:rPr>
            <w:rStyle w:val="Hyperlink"/>
            <w:rFonts w:ascii="Times New Roman" w:hAnsi="Times New Roman"/>
            <w:b w:val="false"/>
            <w:i w:val="false"/>
            <w:color w:val="000000"/>
            <w:sz w:val="22"/>
          </w:rPr>
          <w:t>113.7(8)</w:t>
        </w:r>
      </w:hyperlink>
      <w:r>
        <w:rPr>
          <w:rFonts w:ascii="Times New Roman" w:hAnsi="Times New Roman"/>
          <w:b w:val="false"/>
          <w:i w:val="false"/>
          <w:color w:val="000000"/>
          <w:sz w:val="22"/>
        </w:rPr>
        <w:t>. Such active portions shall be seeded if they will not receive waste for a full growing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Scarification of cover. To help prevent leachate seeps by aiding the downward flow of leachate, cover material or alternative cover material, which prevents the downward flow of leachate and is at least 5 feet from the outer edge of the MSWLF unit, shall be scarified prior to use of that area as a working face. Cover material or alternative cover material that does not impede the downward flow of leachate, as approved by the department, does not require scarification. Scarification may be as simple as the spearing or breaking up of a small area of the cover. Areas of intermediate cover may require removal of some of the cover material or alternative cover material to aid the downward flow of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cover. Final cover over an MSWLF unit that is to be closed shall be constructed and maintained according to the closure and postclosure requirements of rules </w:t>
      </w:r>
      <w:hyperlink r:id="rId139">
        <w:r>
          <w:rPr>
            <w:rStyle w:val="Hyperlink"/>
            <w:rFonts w:ascii="Times New Roman" w:hAnsi="Times New Roman"/>
            <w:b w:val="false"/>
            <w:i w:val="false"/>
            <w:color w:val="000000"/>
            <w:sz w:val="22"/>
          </w:rPr>
          <w:t>567—113.12(455B)</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567—113.13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Leachate seeps. </w:t>
      </w:r>
      <w:r>
        <w:rPr>
          <w:rFonts w:ascii="Times New Roman" w:hAnsi="Times New Roman"/>
          <w:b w:val="false"/>
          <w:i w:val="false"/>
          <w:color w:val="000000"/>
          <w:sz w:val="22"/>
        </w:rPr>
        <w:t>Leachate seeps shall be contained and plugged upon being identified. Leachate seeps shall not be allowed to reach waters of the state. Soils outside of the MSWLF unit that are contaminated by a leachate seep shall be excavated and then disposed of within the MSWLF unit. Such soils may be used for daily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Leachate recirculation. </w:t>
      </w:r>
      <w:r>
        <w:rPr>
          <w:rFonts w:ascii="Times New Roman" w:hAnsi="Times New Roman"/>
          <w:b w:val="false"/>
          <w:i w:val="false"/>
          <w:color w:val="000000"/>
          <w:sz w:val="22"/>
        </w:rPr>
        <w:t>The department must approve an MSWLF unit for leachate recirculation. The primary goal of the leachate recirculation system is to help stabilize the waste in a more rapid, but controlled, manner. The leachate recirculation system shall not contaminate waters of the state, contribute to erosion, damage cover material, harm vegetation, or spray persons at the MSWLF facility. Leachate recirculation shall be limited to MSWLF units constructed with a composite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Differential settlement. </w:t>
      </w:r>
      <w:r>
        <w:rPr>
          <w:rFonts w:ascii="Times New Roman" w:hAnsi="Times New Roman"/>
          <w:b w:val="false"/>
          <w:i w:val="false"/>
          <w:color w:val="000000"/>
          <w:sz w:val="22"/>
        </w:rPr>
        <w:t>Areas of differential settlement sufficient to interfere with runoff and run-on shall be brought back up to the contours of the surrounding active portion. Differential settlement shall not be allowed to cause ponding of water on the active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113.8(3)</w:t>
      </w:r>
      <w:r>
        <w:rPr>
          <w:rFonts w:ascii="Times New Roman" w:hAnsi="Times New Roman"/>
          <w:b w:val="false"/>
          <w:i w:val="false"/>
          <w:color w:val="000000"/>
          <w:sz w:val="22"/>
        </w:rPr>
        <w:t> </w:t>
      </w:r>
      <w:r>
        <w:rPr>
          <w:rFonts w:ascii="Times New Roman" w:hAnsi="Times New Roman"/>
          <w:b w:val="false"/>
          <w:i/>
          <w:color w:val="000000"/>
          <w:sz w:val="22"/>
        </w:rPr>
        <w:t xml:space="preserve">Facility operations and activities. </w:t>
      </w:r>
      <w:r>
        <w:rPr>
          <w:rFonts w:ascii="Times New Roman" w:hAnsi="Times New Roman"/>
          <w:b w:val="false"/>
          <w:i w:val="false"/>
          <w:color w:val="000000"/>
          <w:sz w:val="22"/>
        </w:rPr>
        <w:t>All MSWLFs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Controlled access. </w:t>
      </w:r>
      <w:r>
        <w:rPr>
          <w:rFonts w:ascii="Times New Roman" w:hAnsi="Times New Roman"/>
          <w:b w:val="false"/>
          <w:i w:val="false"/>
          <w:color w:val="000000"/>
          <w:sz w:val="22"/>
        </w:rPr>
        <w:t>Owners or operators of all MSWLF units must control public access and prevent unauthorized vehicular traffic and illegal dumping of wastes by using artificial barriers, natural barriers, or both, as appropriate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Scales and weights. </w:t>
      </w:r>
      <w:r>
        <w:rPr>
          <w:rFonts w:ascii="Times New Roman" w:hAnsi="Times New Roman"/>
          <w:b w:val="false"/>
          <w:i w:val="false"/>
          <w:color w:val="000000"/>
          <w:sz w:val="22"/>
        </w:rPr>
        <w:t>A scale certified by the Iowa department of agriculture and land stewardship shall weigh all solid waste collection vehicles and solid waste transport vehicles. The owner or operator shall maintain a record of the weight of waste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All-weather access to disposal. </w:t>
      </w:r>
      <w:r>
        <w:rPr>
          <w:rFonts w:ascii="Times New Roman" w:hAnsi="Times New Roman"/>
          <w:b w:val="false"/>
          <w:i w:val="false"/>
          <w:color w:val="000000"/>
          <w:sz w:val="22"/>
        </w:rPr>
        <w:t>A disposal area shall be accessible during all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Salvaged and processed materials. </w:t>
      </w:r>
      <w:r>
        <w:rPr>
          <w:rFonts w:ascii="Times New Roman" w:hAnsi="Times New Roman"/>
          <w:b w:val="false"/>
          <w:i w:val="false"/>
          <w:color w:val="000000"/>
          <w:sz w:val="22"/>
        </w:rPr>
        <w:t>Salvaged and processed materials (e.g., scrap metal, compost, mulch, aggregate, tire chips) shall be managed and stored in an orderly manner that does not create a nuisance or encourage the attraction or harborage of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Vector control. </w:t>
      </w:r>
      <w:r>
        <w:rPr>
          <w:rFonts w:ascii="Times New Roman" w:hAnsi="Times New Roman"/>
          <w:b w:val="false"/>
          <w:i w:val="false"/>
          <w:color w:val="000000"/>
          <w:sz w:val="22"/>
        </w:rPr>
        <w:t>Owners or operators must prevent or control the on-site populations of vectors using techniques appropriate for the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Litter control. </w:t>
      </w:r>
      <w:r>
        <w:rPr>
          <w:rFonts w:ascii="Times New Roman" w:hAnsi="Times New Roman"/>
          <w:b w:val="false"/>
          <w:i w:val="false"/>
          <w:color w:val="000000"/>
          <w:sz w:val="22"/>
        </w:rPr>
        <w:t>The operator shall take steps to minimize the production of litter and the release of windblown litter off site of the facility. All windblown litter off site of the facility shall be collected daily unless prevented by unsafe working conditions. On-site litter shall be collected daily unless prevented by working conditions. A dated record of unsafe conditions that prevented litter collection activities shall be maintained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Dust. </w:t>
      </w:r>
      <w:r>
        <w:rPr>
          <w:rFonts w:ascii="Times New Roman" w:hAnsi="Times New Roman"/>
          <w:b w:val="false"/>
          <w:i w:val="false"/>
          <w:color w:val="000000"/>
          <w:sz w:val="22"/>
        </w:rPr>
        <w:t>The operator shall take steps to minimize the production of dust so that unsafe or nuisance conditions are prevented. Leachate shall not be used for dust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Mud. </w:t>
      </w:r>
      <w:r>
        <w:rPr>
          <w:rFonts w:ascii="Times New Roman" w:hAnsi="Times New Roman"/>
          <w:b w:val="false"/>
          <w:i w:val="false"/>
          <w:color w:val="000000"/>
          <w:sz w:val="22"/>
        </w:rPr>
        <w:t>The operator shall take steps to minimize the tracking of mud by vehicles exiting the facility so that slick or unsafe conditions are prevented.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Leachate and wastewater treatment. </w:t>
      </w:r>
      <w:r>
        <w:rPr>
          <w:rFonts w:ascii="Times New Roman" w:hAnsi="Times New Roman"/>
          <w:b w:val="false"/>
          <w:i w:val="false"/>
          <w:color w:val="000000"/>
          <w:sz w:val="22"/>
        </w:rPr>
        <w:t xml:space="preserve">The leachate management system shall be managed and maintained pursuant to the requirements of paragraph </w:t>
      </w:r>
      <w:hyperlink r:id="rId141">
        <w:r>
          <w:rPr>
            <w:rStyle w:val="Hyperlink"/>
            <w:rFonts w:ascii="Times New Roman" w:hAnsi="Times New Roman"/>
            <w:b w:val="false"/>
            <w:i w:val="false"/>
            <w:color w:val="000000"/>
            <w:sz w:val="22"/>
          </w:rPr>
          <w:t>113.7(5)</w:t>
        </w:r>
      </w:hyperlink>
      <w:r>
        <w:rPr>
          <w:rFonts w:ascii="Times New Roman" w:hAnsi="Times New Roman"/>
          <w:b w:val="false"/>
          <w:i/>
          <w:color w:val="000000"/>
          <w:sz w:val="22"/>
        </w:rPr>
        <w:t>“b.”</w:t>
      </w:r>
      <w:r>
        <w:rPr>
          <w:rFonts w:ascii="Times New Roman" w:hAnsi="Times New Roman"/>
          <w:b w:val="false"/>
          <w:i w:val="false"/>
          <w:color w:val="000000"/>
          <w:sz w:val="22"/>
        </w:rPr>
        <w:t xml:space="preserve"> Leachate collection pipes shall be cleaned and inspected as necessary, but not less than once every three years. Leachate and wastewater shall be treated as necessary to meet the pretreatment limits, if any, imposed by an agreement between the MSWLF and a publicly owned wastewater treatment works (POTW) or by the effluent discharge limits established by an NPDES permit. Documentation of the POTW agreement or NPDES permit must be submitted to the department. All leachate and wastewater treatment systems shall conform to department wastewater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w:t>
      </w:r>
      <w:r>
        <w:rPr>
          <w:rFonts w:ascii="Times New Roman" w:hAnsi="Times New Roman"/>
          <w:b w:val="false"/>
          <w:i w:val="false"/>
          <w:color w:val="000000"/>
          <w:sz w:val="22"/>
        </w:rPr>
        <w:t xml:space="preserve">Financial assurance shall be maintained pursuant to rule </w:t>
      </w:r>
      <w:hyperlink r:id="rId142">
        <w:r>
          <w:rPr>
            <w:rStyle w:val="Hyperlink"/>
            <w:rFonts w:ascii="Times New Roman" w:hAnsi="Times New Roman"/>
            <w:b w:val="false"/>
            <w:i w:val="false"/>
            <w:color w:val="000000"/>
            <w:sz w:val="22"/>
          </w:rPr>
          <w:t>567—113.14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113.8(4)</w:t>
      </w:r>
      <w:r>
        <w:rPr>
          <w:rFonts w:ascii="Times New Roman" w:hAnsi="Times New Roman"/>
          <w:b w:val="false"/>
          <w:i w:val="false"/>
          <w:color w:val="000000"/>
          <w:sz w:val="22"/>
        </w:rPr>
        <w:t> </w:t>
      </w:r>
      <w:r>
        <w:rPr>
          <w:rFonts w:ascii="Times New Roman" w:hAnsi="Times New Roman"/>
          <w:b w:val="false"/>
          <w:i/>
          <w:color w:val="000000"/>
          <w:sz w:val="22"/>
        </w:rPr>
        <w:t xml:space="preserve">Development and operations plan (DOPs). </w:t>
      </w:r>
      <w:r>
        <w:rPr>
          <w:rFonts w:ascii="Times New Roman" w:hAnsi="Times New Roman"/>
          <w:b w:val="false"/>
          <w:i w:val="false"/>
          <w:color w:val="000000"/>
          <w:sz w:val="22"/>
        </w:rPr>
        <w:t xml:space="preserve">An MSWLF unit shall maintain a development and operations plan (DOPs). At a minimum, the DOPs shall detail how the facility will operate and how compliance with the requirements of rule </w:t>
      </w:r>
      <w:hyperlink r:id="rId143">
        <w:r>
          <w:rPr>
            <w:rStyle w:val="Hyperlink"/>
            <w:rFonts w:ascii="Times New Roman" w:hAnsi="Times New Roman"/>
            <w:b w:val="false"/>
            <w:i w:val="false"/>
            <w:color w:val="000000"/>
            <w:sz w:val="22"/>
          </w:rPr>
          <w:t>567—113.8</w:t>
        </w:r>
      </w:hyperlink>
      <w:r>
        <w:rPr>
          <w:rFonts w:ascii="Times New Roman" w:hAnsi="Times New Roman"/>
          <w:b w:val="false"/>
          <w:i w:val="false"/>
          <w:color w:val="000000"/>
          <w:sz w:val="22"/>
        </w:rPr>
        <w:t>(455B) will be maintained. The DOPs shall contain at least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page and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Telephone number of the official responsible for the operation of the facility and an emergency contact person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area of the facility and political jurisdictions included 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Days and hours of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prohibited operations and activity requirements of subrule </w:t>
      </w:r>
      <w:hyperlink r:id="rId144">
        <w:r>
          <w:rPr>
            <w:rStyle w:val="Hyperlink"/>
            <w:rFonts w:ascii="Times New Roman" w:hAnsi="Times New Roman"/>
            <w:b w:val="false"/>
            <w:i w:val="false"/>
            <w:color w:val="000000"/>
            <w:sz w:val="22"/>
          </w:rPr>
          <w:t>113.8(1)</w:t>
        </w:r>
      </w:hyperlink>
      <w:r>
        <w:rPr>
          <w:rFonts w:ascii="Times New Roman" w:hAnsi="Times New Roman"/>
          <w:b w:val="false"/>
          <w:i w:val="false"/>
          <w:color w:val="000000"/>
          <w:sz w:val="22"/>
        </w:rPr>
        <w:t xml:space="preserve"> and any related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disposal operation and activity requirements of subrule </w:t>
      </w:r>
      <w:hyperlink r:id="rId145">
        <w:r>
          <w:rPr>
            <w:rStyle w:val="Hyperlink"/>
            <w:rFonts w:ascii="Times New Roman" w:hAnsi="Times New Roman"/>
            <w:b w:val="false"/>
            <w:i w:val="false"/>
            <w:color w:val="000000"/>
            <w:sz w:val="22"/>
          </w:rPr>
          <w:t>113.8(2)</w:t>
        </w:r>
      </w:hyperlink>
      <w:r>
        <w:rPr>
          <w:rFonts w:ascii="Times New Roman" w:hAnsi="Times New Roman"/>
          <w:b w:val="false"/>
          <w:i w:val="false"/>
          <w:color w:val="000000"/>
          <w:sz w:val="22"/>
        </w:rPr>
        <w:t xml:space="preserve"> and any related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facility operations and activity requirements of subrule </w:t>
      </w:r>
      <w:hyperlink r:id="rId146">
        <w:r>
          <w:rPr>
            <w:rStyle w:val="Hyperlink"/>
            <w:rFonts w:ascii="Times New Roman" w:hAnsi="Times New Roman"/>
            <w:b w:val="false"/>
            <w:i w:val="false"/>
            <w:color w:val="000000"/>
            <w:sz w:val="22"/>
          </w:rPr>
          <w:t>113.8(3)</w:t>
        </w:r>
      </w:hyperlink>
      <w:r>
        <w:rPr>
          <w:rFonts w:ascii="Times New Roman" w:hAnsi="Times New Roman"/>
          <w:b w:val="false"/>
          <w:i w:val="false"/>
          <w:color w:val="000000"/>
          <w:sz w:val="22"/>
        </w:rPr>
        <w:t>, any related permit conditions, and any leachate and wastewater treatment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113.8(5)</w:t>
      </w:r>
      <w:r>
        <w:rPr>
          <w:rFonts w:ascii="Times New Roman" w:hAnsi="Times New Roman"/>
          <w:b w:val="false"/>
          <w:i w:val="false"/>
          <w:color w:val="000000"/>
          <w:sz w:val="22"/>
        </w:rPr>
        <w:t> </w:t>
      </w:r>
      <w:r>
        <w:rPr>
          <w:rFonts w:ascii="Times New Roman" w:hAnsi="Times New Roman"/>
          <w:b w:val="false"/>
          <w:i/>
          <w:color w:val="000000"/>
          <w:sz w:val="22"/>
        </w:rPr>
        <w:t xml:space="preserve">Emergency response and remedial action plan (ERRAP). </w:t>
      </w:r>
      <w:r>
        <w:rPr>
          <w:rFonts w:ascii="Times New Roman" w:hAnsi="Times New Roman"/>
          <w:b w:val="false"/>
          <w:i w:val="false"/>
          <w:color w:val="000000"/>
          <w:sz w:val="22"/>
        </w:rPr>
        <w:t>All MSWLFs shall develop, submit to the department for approval, and maintain on site an ERRAP.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ERRAP submittal requirements. </w:t>
      </w:r>
      <w:r>
        <w:rPr>
          <w:rFonts w:ascii="Times New Roman" w:hAnsi="Times New Roman"/>
          <w:b w:val="false"/>
          <w:i w:val="false"/>
          <w:color w:val="000000"/>
          <w:sz w:val="22"/>
        </w:rPr>
        <w:t>An updated ERRAP shall be submitted to the department with any permit modification or renewal request that incorporates facility changes that impact the ERRAP.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ERRAP is intended to be a quick reference during an emergency. The content of the ERRAP shall be concise and readily usable as a reference manual by facility managers and operators during emergency conditions. The ERRAP shall contain and address at least the following components, unless facility conditions render the specific issue as not applicable. To facilitate department review, the rationale for exclusion of any issues that are not applicable must be provided either in the body of the plan or as a supplement. Additional ERRAP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Facility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DNR permit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Certified operator and contact information.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Regulatory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section </w:t>
      </w:r>
      <w:hyperlink r:id="rId147">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criteria citation.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Emergency conditions, response activities and remedial action.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of utilities.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Short-term (48 hours or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Long-term (over 48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Evacuation procedures during emergency conditions.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Weather-related events.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Tornado and wind events.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Snow and 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Intense rainstorms, mud, and erosion.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Lightning strikes.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Flooding.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Event and postevent conditions.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Fire and explosions.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Buildings and site.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Utilities.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Working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Hot loads.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Explosive devices.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Regulated waste spills and releases.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Leachate.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stockpiles and storage facilities.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transport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Litter and airborne particulate.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Site drainage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Hazardous material spills and releases.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Load-check control points.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Mixed waste deliveries.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Mass movement of land and waste.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Earthquakes.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Slope failure.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shifts.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subsidence.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Emergency and release notification and reporting.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County and city agencies including emergency management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 and private facilities with special populations within five miles.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Emergency waste management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Temporary discontinuation of services—short-term and long-term.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Facilities access and rerouting.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 acceptance.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Wastes in process.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Primary emergency equipment inventory.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Major equipment.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Fire hydrants and water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Off-site equipment resources.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Emergency aid.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Responder contacts.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Medical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Contracts and agreements.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ERRAP training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completion and record keeping.</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Reference tables, figures and maps.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113.8(6)</w:t>
      </w:r>
      <w:r>
        <w:rPr>
          <w:rFonts w:ascii="Times New Roman" w:hAnsi="Times New Roman"/>
          <w:b w:val="false"/>
          <w:i w:val="false"/>
          <w:color w:val="000000"/>
          <w:sz w:val="22"/>
        </w:rPr>
        <w:t> </w:t>
      </w:r>
      <w:r>
        <w:rPr>
          <w:rFonts w:ascii="Times New Roman" w:hAnsi="Times New Roman"/>
          <w:b w:val="false"/>
          <w:i/>
          <w:color w:val="000000"/>
          <w:sz w:val="22"/>
        </w:rPr>
        <w:t xml:space="preserve">MSWLF operator certification. </w:t>
      </w:r>
      <w:r>
        <w:rPr>
          <w:rFonts w:ascii="Times New Roman" w:hAnsi="Times New Roman"/>
          <w:b w:val="false"/>
          <w:i w:val="false"/>
          <w:color w:val="000000"/>
          <w:sz w:val="22"/>
        </w:rPr>
        <w:t>Sanitary landfill operators shall be trained, tested, and certified by a department-approved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shall be on duty during all hours of operation of a sanitary landfill, consistent with the respective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become a certified operator, an individual shall complete a basic operator training course that has been approved by the department or an alternative, equivalent training approved by the department and shall pass a departmental examination as specified by this subrule. An operator certified by another state may have reciprocity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certification is valid until June 30 of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required basic operator training course for a certified sanitary landfill operator shall have at least 25 contact hours and shall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Interpreting and using engineering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Construction surveying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Waste decomposition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Geology and hydrology.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Landfill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Environmental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Permitting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Leachate control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Alternate basic operator training must be approved by the department. The applicant shall be responsible for submitting any documentation the department may require to evaluate the equivalency of alternate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examination fee for each examination is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initial certification fee is $8 for each one-half year of a two-year period from the date of issuance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is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penalty fee is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operator certification examinations shall be based on the basic operator training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individuals wishing to take the examination required to become a certified operator of a sanitary landfill shall complete the Operator Certification Examination Application, Form 542-1354.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department and addressed to the central office in Des Moines. Application for examination must be received by the department at least 30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for examination shall be valid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failure of the first examination, the applicant may be reexamined at the next scheduled examination. Upon failure of the second examination, the applicant shall be required to wait a period of 180 days between each subsequent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the applicant shall submit to the department the examination fee at least ten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Completed examinations will be retained by the department for a period of one year after which they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Oral examinations may be given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operators who passed the operator certification examination by July 1, 1991, are exempt from taking the required operator training course. Beginning July 1, 1991, all operators are required to take the basic operator training course and pass the examination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must be received by the department within 30 days of the date the applicant receives notification of successful completion of the examination. All applications for certification shall be made on a form provided by the department and shall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by examination which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other state mandatory certification programs, the equivalency of which has been previously reviewed and accepted by the department, certification without examination will be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voluntary certification programs in other states, certification will be considered. The applicant must have successfully completed a basic operator training course and an examination generally equivalent to the Iowa examination. The department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seek Iowa certification pursuant to subparagraphs </w:t>
      </w:r>
      <w:hyperlink r:id="rId148">
        <w:r>
          <w:rPr>
            <w:rStyle w:val="Hyperlink"/>
            <w:rFonts w:ascii="Times New Roman" w:hAnsi="Times New Roman"/>
            <w:b w:val="false"/>
            <w:i w:val="false"/>
            <w:color w:val="000000"/>
            <w:sz w:val="22"/>
          </w:rPr>
          <w:t>113.8(6)</w:t>
        </w:r>
      </w:hyperlink>
      <w:r>
        <w:rPr>
          <w:rFonts w:ascii="Times New Roman" w:hAnsi="Times New Roman"/>
          <w:b w:val="false"/>
          <w:i/>
          <w:color w:val="000000"/>
          <w:sz w:val="22"/>
        </w:rPr>
        <w:t>“h”</w:t>
      </w:r>
      <w:r>
        <w:rPr>
          <w:rFonts w:ascii="Times New Roman" w:hAnsi="Times New Roman"/>
          <w:b w:val="false"/>
          <w:i w:val="false"/>
          <w:color w:val="000000"/>
          <w:sz w:val="22"/>
        </w:rPr>
        <w:t xml:space="preserve">(4) and (5) shall submit an application for examination accompanied by a letter requesting certification pursuant to those subparagraphs. Application for certification pursuant to those subparagraphs shall be received by the department in accordance with subparagraphs </w:t>
      </w:r>
      <w:hyperlink r:id="rId149">
        <w:r>
          <w:rPr>
            <w:rStyle w:val="Hyperlink"/>
            <w:rFonts w:ascii="Times New Roman" w:hAnsi="Times New Roman"/>
            <w:b w:val="false"/>
            <w:i w:val="false"/>
            <w:color w:val="000000"/>
            <w:sz w:val="22"/>
          </w:rPr>
          <w:t>113.8(6)</w:t>
        </w:r>
      </w:hyperlink>
      <w:r>
        <w:rPr>
          <w:rFonts w:ascii="Times New Roman" w:hAnsi="Times New Roman"/>
          <w:b w:val="false"/>
          <w:i/>
          <w:color w:val="000000"/>
          <w:sz w:val="22"/>
        </w:rPr>
        <w:t>“h”</w:t>
      </w:r>
      <w:r>
        <w:rPr>
          <w:rFonts w:ascii="Times New Roman" w:hAnsi="Times New Roman"/>
          <w:b w:val="false"/>
          <w:i w:val="false"/>
          <w:color w:val="000000"/>
          <w:sz w:val="22"/>
        </w:rPr>
        <w:t>(2)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Renewals. All certificates shall expire every two years, on even-numbered years, and must be renewed every two years to maintain certification. Application and fee are due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Late application for renewal of a certificate may be made, provided that such late application shall be received by the department or postmarked within 30 days of the expiration of the certificate. Such late application shall be on forms provided by the department and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certificate holder fails to apply for renewal within 30 days following expiration of the certificate, the right to renew the certificate automatically terminates. Certification may be allowed at any time following such termination, provided that the applicant successfully completes an examination. The applicant must then apply for certification in accordance with paragraph </w:t>
      </w:r>
      <w:hyperlink r:id="rId150">
        <w:r>
          <w:rPr>
            <w:rStyle w:val="Hyperlink"/>
            <w:rFonts w:ascii="Times New Roman" w:hAnsi="Times New Roman"/>
            <w:b w:val="false"/>
            <w:i w:val="false"/>
            <w:color w:val="000000"/>
            <w:sz w:val="22"/>
          </w:rPr>
          <w:t>113.8(6)</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operator shall not continue to operate a sanitary landfill after expiration of a certificate without renewal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Continuing education must be earned during the two-year certification period. All certified operators must earn ten contact hours per certificate during each two-year period. The two-year period will begin upon issuance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continuing education requirements before the end of each two-year period will be allowed to renew their certificates. The certificates of operators not fulfilling the continuing education requirements shall be void upon expiration, unless an extension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continuing education credit will be granted must be related to the subject matter of the particular certificate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which prevent attendance at the required activities. All requests for extensions must be made 60 days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be deemed to have complied with the continuing education requirements of this subrule during periods that the operator serves honorably on active duty in the military service; or for periods that the operator is a resident of another state or district having a continuing education requirement for operators and meets all the requirements of that state or district for practice there; or for periods that the person is a government employee working as an operator and is assigned to duty outside the United States; or for other periods of active practice and absence from the state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Discipline of certified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use reasonable care or judgment or to apply knowledge or ability in performing the duties of a certified operator. Duties of certified operators include compliance with rules and permit conditions applicable to landfill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Revocation of a certificate.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department shall initiate disciplinary action. The commission may direct that the department investigate any alleged factual situation that may be grounds for disciplinary action under subparagraph </w:t>
      </w:r>
      <w:hyperlink r:id="rId151">
        <w:r>
          <w:rPr>
            <w:rStyle w:val="Hyperlink"/>
            <w:rFonts w:ascii="Times New Roman" w:hAnsi="Times New Roman"/>
            <w:b w:val="false"/>
            <w:i w:val="false"/>
            <w:color w:val="000000"/>
            <w:sz w:val="22"/>
          </w:rPr>
          <w:t>113.8(6)</w:t>
        </w:r>
      </w:hyperlink>
      <w:r>
        <w:rPr>
          <w:rFonts w:ascii="Times New Roman" w:hAnsi="Times New Roman"/>
          <w:b w:val="false"/>
          <w:i/>
          <w:color w:val="000000"/>
          <w:sz w:val="22"/>
        </w:rPr>
        <w:t>“j”</w:t>
      </w:r>
      <w:r>
        <w:rPr>
          <w:rFonts w:ascii="Times New Roman" w:hAnsi="Times New Roman"/>
          <w:b w:val="false"/>
          <w:i w:val="false"/>
          <w:color w:val="000000"/>
          <w:sz w:val="22"/>
        </w:rPr>
        <w:t>(1) and report the results of the investigation to the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disciplinary action may be prosecuted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Written notice shall be given to an operator against whom disciplinary action is being considered.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operator who receives notice shall communicate verbally, in writing, or in person with the department, and efforts shall be made to clarify the respective positions of the operator and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applicant’s failure to communicate facts and positions relevant to the matter by the required date may be considered when determining appropriate disciplinary action.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If an agreement as to appropriate disciplinary action, if any, cannot be reached, the department may initiate formal hearing procedures. Notice and formal hearing shall be in accordance with </w:t>
      </w:r>
      <w:hyperlink r:id="rId152">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related to contested and certain other cases pertaining to license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Revocation of certificates. Upon revocation of a certificate, application for certification may be allowed after two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certification. A temporary operator of a sanitary landfill may be designated for a period of six months when an existing certified operator is no longer available to the facility. The facility must make application to the department, explain why a temporary certification is needed, identify the temporary operator, and identify the efforts which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paragraph </w:t>
      </w:r>
      <w:hyperlink r:id="rId153">
        <w:r>
          <w:rPr>
            <w:rStyle w:val="Hyperlink"/>
            <w:rFonts w:ascii="Times New Roman" w:hAnsi="Times New Roman"/>
            <w:b w:val="false"/>
            <w:i w:val="false"/>
            <w:color w:val="000000"/>
            <w:sz w:val="22"/>
          </w:rPr>
          <w:t>113.8(6)</w:t>
        </w:r>
      </w:hyperlink>
      <w:r>
        <w:rPr>
          <w:rFonts w:ascii="Times New Roman" w:hAnsi="Times New Roman"/>
          <w:b w:val="false"/>
          <w:i/>
          <w:color w:val="000000"/>
          <w:sz w:val="22"/>
        </w:rPr>
        <w:t>“j.”</w:t>
      </w:r>
      <w:r>
        <w:rPr>
          <w:rFonts w:ascii="Times New Roman" w:hAnsi="Times New Roman"/>
          <w:b w:val="false"/>
          <w:i w:val="false"/>
          <w:color w:val="000000"/>
          <w:sz w:val="22"/>
        </w:rPr>
        <w:t xml:space="preserve"> All MSWLFs shall have at least one MSWLF operator trained, tested and certified by a department-approved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2692C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567—113.9</w:t>
      </w:r>
      <w:r>
        <w:rPr>
          <w:rFonts w:ascii="Times New Roman" w:hAnsi="Times New Roman"/>
          <w:b/>
          <w:i w:val="false"/>
          <w:color w:val="000000"/>
          <w:sz w:val="22"/>
        </w:rPr>
        <w:t xml:space="preserve">(455B) </w:t>
      </w:r>
      <w:r>
        <w:rPr>
          <w:rFonts w:ascii="Times New Roman" w:hAnsi="Times New Roman"/>
          <w:b/>
          <w:i w:val="false"/>
          <w:color w:val="000000"/>
          <w:sz w:val="22"/>
        </w:rPr>
        <w:t xml:space="preserve">Environmental monitoring and corrective action requirements for air quality and landfill gas. </w:t>
      </w:r>
      <w:r>
        <w:rPr>
          <w:rFonts w:ascii="Times New Roman" w:hAnsi="Times New Roman"/>
          <w:b w:val="false"/>
          <w:i w:val="false"/>
          <w:color w:val="000000"/>
          <w:sz w:val="22"/>
        </w:rPr>
        <w:t>All MSWLFs shall comply with the following environmental monitoring and corrective action requirements for air quality and landfill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113.9(1)</w:t>
      </w:r>
      <w:r>
        <w:rPr>
          <w:rFonts w:ascii="Times New Roman" w:hAnsi="Times New Roman"/>
          <w:b w:val="false"/>
          <w:i w:val="false"/>
          <w:color w:val="000000"/>
          <w:sz w:val="22"/>
        </w:rPr>
        <w:t> </w:t>
      </w:r>
      <w:r>
        <w:rPr>
          <w:rFonts w:ascii="Times New Roman" w:hAnsi="Times New Roman"/>
          <w:b w:val="false"/>
          <w:i/>
          <w:color w:val="000000"/>
          <w:sz w:val="22"/>
        </w:rPr>
        <w:t xml:space="preserve">Air criteria. </w:t>
      </w:r>
      <w:r>
        <w:rPr>
          <w:rFonts w:ascii="Times New Roman" w:hAnsi="Times New Roman"/>
          <w:b w:val="false"/>
          <w:i w:val="false"/>
          <w:color w:val="000000"/>
          <w:sz w:val="22"/>
        </w:rPr>
        <w:t>Owners or operators of all MSWLFs must ensure that the units do not violate any applicable requirements developed under a state implementation plan (SIP) approved or promulgated by the department pursuant to Section 110 of the Clean Air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113.9(2)</w:t>
      </w:r>
      <w:r>
        <w:rPr>
          <w:rFonts w:ascii="Times New Roman" w:hAnsi="Times New Roman"/>
          <w:b w:val="false"/>
          <w:i w:val="false"/>
          <w:color w:val="000000"/>
          <w:sz w:val="22"/>
        </w:rPr>
        <w:t> </w:t>
      </w:r>
      <w:r>
        <w:rPr>
          <w:rFonts w:ascii="Times New Roman" w:hAnsi="Times New Roman"/>
          <w:b w:val="false"/>
          <w:i/>
          <w:color w:val="000000"/>
          <w:sz w:val="22"/>
        </w:rPr>
        <w:t xml:space="preserve">Landfill gas. </w:t>
      </w:r>
      <w:r>
        <w:rPr>
          <w:rFonts w:ascii="Times New Roman" w:hAnsi="Times New Roman"/>
          <w:b w:val="false"/>
          <w:i w:val="false"/>
          <w:color w:val="000000"/>
          <w:sz w:val="22"/>
        </w:rPr>
        <w:t>All MSWLFs shall comply with the following requirements for landfill gas. For purposes of this subrule, “lower explosive limit” means the lowest percent by volume of a mixture of explosive gases in air that will propagate a flame at 25°C and atmospheric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all MSWLF units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generated by the facility does not exceed 25 percent of the lower explosive limit for methane in facility structures (excluding gas pipeline, control or recovery system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does not exceed the lower explosive limit for methane at the facility property boundary;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all MSWLF units must implement a routine methane-monitoring program to ensure that the standards of paragraph </w:t>
      </w:r>
      <w:hyperlink r:id="rId154">
        <w:r>
          <w:rPr>
            <w:rStyle w:val="Hyperlink"/>
            <w:rFonts w:ascii="Times New Roman" w:hAnsi="Times New Roman"/>
            <w:b w:val="false"/>
            <w:i w:val="false"/>
            <w:color w:val="000000"/>
            <w:sz w:val="22"/>
          </w:rPr>
          <w:t>113.9(2)</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 Such a program shall include routine subsurface methane monitoring (e.g., at select groundwater wells, at gas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and frequency of monitoring must be determined based on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Soil conditions;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hydrogeologic conditions surrounding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hydraulic conditions surrounding the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location of facility structures (including potential subsurface preferential pathways such as, but not limited to, pipes, utility conduits, drain tiles and sewers) and property boundaries;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locations of structures near the outside of the facility to which or along which subsurface migration of methane gas may occur. Examples of such structures include, but are not limited to, houses, buildings, basements, crawl spaces, pipes, utility conduits, drain tiles and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frequency of monitoring shall be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methane gas levels exceeding the limits specified in paragraph </w:t>
      </w:r>
      <w:hyperlink r:id="rId155">
        <w:r>
          <w:rPr>
            <w:rStyle w:val="Hyperlink"/>
            <w:rFonts w:ascii="Times New Roman" w:hAnsi="Times New Roman"/>
            <w:b w:val="false"/>
            <w:i w:val="false"/>
            <w:color w:val="000000"/>
            <w:sz w:val="22"/>
          </w:rPr>
          <w:t>113.9(2)</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detected,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take all necessary steps to ensure protection of human health and notify the department and department field office with jurisdiction over the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7 days of detection, place in the operating record and notify the department and department field office with jurisdiction over the MSWLF of the methane gas levels detected and a description of the steps taken to protect human health;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60 days of detection, implement a remediation plan for the methane gas releases, place a copy of the plan in the operating record, and notify the department and department field office with jurisdiction over the MSWLF that the plan has been implemented. The plan shall describe the nature and extent of the problem and the proposed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an annual report to the department detailing the gas monitoring sampling locations and results, any action taken, and the results of steps taken to address gas levels exceeding the limits of paragraph </w:t>
      </w:r>
      <w:hyperlink r:id="rId156">
        <w:r>
          <w:rPr>
            <w:rStyle w:val="Hyperlink"/>
            <w:rFonts w:ascii="Times New Roman" w:hAnsi="Times New Roman"/>
            <w:b w:val="false"/>
            <w:i w:val="false"/>
            <w:color w:val="000000"/>
            <w:sz w:val="22"/>
          </w:rPr>
          <w:t>113.9(2)</w:t>
        </w:r>
      </w:hyperlink>
      <w:r>
        <w:rPr>
          <w:rFonts w:ascii="Times New Roman" w:hAnsi="Times New Roman"/>
          <w:b w:val="false"/>
          <w:i/>
          <w:color w:val="000000"/>
          <w:sz w:val="22"/>
        </w:rPr>
        <w:t>“a”</w:t>
      </w:r>
      <w:r>
        <w:rPr>
          <w:rFonts w:ascii="Times New Roman" w:hAnsi="Times New Roman"/>
          <w:b w:val="false"/>
          <w:i w:val="false"/>
          <w:color w:val="000000"/>
          <w:sz w:val="22"/>
        </w:rPr>
        <w:t xml:space="preserve"> during the previous year. This report shall include a site map that delineates all structures, perimeter boundary locations, and other monitoring points where gas readings were taken. The site map shall also delineate areas of landfill gas migration outside the MSWLF units, if any. The report shall contain a narrative explaining and interpreting all of the data collected during the previous year. The report shall be due each year at a date specified by the department in the facility’s permit.</w:t>
      </w:r>
    </w:p>
    <w:p>
      <w:pPr>
        <w:spacing w:before="0" w:after="0"/>
        <w:ind w:left="120"/>
        <w:jc w:val="both"/>
      </w:pPr>
      <w:r>
        <w:rPr>
          <w:rFonts w:ascii="Times New Roman" w:hAnsi="Times New Roman"/>
          <w:b/>
          <w:i w:val="false"/>
          <w:color w:val="000000"/>
          <w:sz w:val="22"/>
        </w:rPr>
        <w:t>567—113.10</w:t>
      </w:r>
      <w:r>
        <w:rPr>
          <w:rFonts w:ascii="Times New Roman" w:hAnsi="Times New Roman"/>
          <w:b/>
          <w:i w:val="false"/>
          <w:color w:val="000000"/>
          <w:sz w:val="22"/>
        </w:rPr>
        <w:t xml:space="preserve">(455B) </w:t>
      </w:r>
      <w:r>
        <w:rPr>
          <w:rFonts w:ascii="Times New Roman" w:hAnsi="Times New Roman"/>
          <w:b/>
          <w:i w:val="false"/>
          <w:color w:val="000000"/>
          <w:sz w:val="22"/>
        </w:rPr>
        <w:t xml:space="preserve">Environmental monitoring and corrective action requirements for groundwater and surface water. </w:t>
      </w:r>
      <w:r>
        <w:rPr>
          <w:rFonts w:ascii="Times New Roman" w:hAnsi="Times New Roman"/>
          <w:b w:val="false"/>
          <w:i w:val="false"/>
          <w:color w:val="000000"/>
          <w:sz w:val="22"/>
        </w:rPr>
        <w:t>All MSWLFs shall comply with the following environmental monitoring and corrective action requirements for groundwater and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environmental monitoring and corrective action for groundwater and surface water. </w:t>
      </w:r>
      <w:r>
        <w:rPr>
          <w:rFonts w:ascii="Times New Roman" w:hAnsi="Times New Roman"/>
          <w:b w:val="false"/>
          <w:i w:val="false"/>
          <w:color w:val="000000"/>
          <w:sz w:val="22"/>
        </w:rPr>
        <w:t>The following general requirements apply to all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Surface water requirements. MSWLF units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Cause a discharge of pollutants into waters of the United States, including wetlands, that violates any requirements of the Clean Water Act, including, but not limited to, the National Pollutant Discharge Elimination System (NPDES) requirements, pursuant to Section 402 of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Cause the discharge of a nonpoint source of pollution into waters of the United States, including wetlands, that violates any requirement of an areawide or statewide water quality management plan that has been approved under Section 208 or 319 of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MSWLF unit must be in compliance with the groundwater monitoring requirements specified in subrules </w:t>
      </w:r>
      <w:hyperlink r:id="rId157">
        <w:r>
          <w:rPr>
            <w:rStyle w:val="Hyperlink"/>
            <w:rFonts w:ascii="Times New Roman" w:hAnsi="Times New Roman"/>
            <w:b w:val="false"/>
            <w:i w:val="false"/>
            <w:color w:val="000000"/>
            <w:sz w:val="22"/>
          </w:rPr>
          <w:t>113.10(2)</w:t>
        </w:r>
      </w:hyperlink>
      <w:r>
        <w:rPr>
          <w:rFonts w:ascii="Times New Roman" w:hAnsi="Times New Roman"/>
          <w:b w:val="false"/>
          <w:i w:val="false"/>
          <w:color w:val="000000"/>
          <w:sz w:val="22"/>
        </w:rPr>
        <w:t xml:space="preserve">, </w:t>
      </w:r>
      <w:hyperlink r:id="rId158">
        <w:r>
          <w:rPr>
            <w:rStyle w:val="Hyperlink"/>
            <w:rFonts w:ascii="Times New Roman" w:hAnsi="Times New Roman"/>
            <w:b w:val="false"/>
            <w:i w:val="false"/>
            <w:color w:val="000000"/>
            <w:sz w:val="22"/>
          </w:rPr>
          <w:t>113.10(4)</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113.10(5)</w:t>
        </w:r>
      </w:hyperlink>
      <w:r>
        <w:rPr>
          <w:rFonts w:ascii="Times New Roman" w:hAnsi="Times New Roman"/>
          <w:b w:val="false"/>
          <w:i w:val="false"/>
          <w:color w:val="000000"/>
          <w:sz w:val="22"/>
        </w:rPr>
        <w:t xml:space="preserve"> and </w:t>
      </w:r>
      <w:hyperlink r:id="rId160">
        <w:r>
          <w:rPr>
            <w:rStyle w:val="Hyperlink"/>
            <w:rFonts w:ascii="Times New Roman" w:hAnsi="Times New Roman"/>
            <w:b w:val="false"/>
            <w:i w:val="false"/>
            <w:color w:val="000000"/>
            <w:sz w:val="22"/>
          </w:rPr>
          <w:t>113.10(6)</w:t>
        </w:r>
      </w:hyperlink>
      <w:r>
        <w:rPr>
          <w:rFonts w:ascii="Times New Roman" w:hAnsi="Times New Roman"/>
          <w:b w:val="false"/>
          <w:i w:val="false"/>
          <w:color w:val="000000"/>
          <w:sz w:val="22"/>
        </w:rPr>
        <w:t xml:space="preserve"> before waste can be placed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Once established at an MSWLF unit, groundwater monitoring shall be conducted throughout the active life and postclosure care period of that MSWLF unit as specified in rule </w:t>
      </w:r>
      <w:hyperlink r:id="rId161">
        <w:r>
          <w:rPr>
            <w:rStyle w:val="Hyperlink"/>
            <w:rFonts w:ascii="Times New Roman" w:hAnsi="Times New Roman"/>
            <w:b w:val="false"/>
            <w:i w:val="false"/>
            <w:color w:val="000000"/>
            <w:sz w:val="22"/>
          </w:rPr>
          <w:t>567—113.13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 “qualified groundwater scientist” means a scientist or an engineer who has received a baccalaureate or postgraduate degree in the natural sciences or engineering and has sufficient training and experience in groundwater hydrology and related fields demonstrated by state registration, professional certifications, or completion of accredited university programs that enable that individual to make sound professional judgments regarding groundwater monitoring, contaminant fate and transport,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establish alternative schedules for demonstrating compliance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62">
        <w:r>
          <w:rPr>
            <w:rStyle w:val="Hyperlink"/>
            <w:rFonts w:ascii="Times New Roman" w:hAnsi="Times New Roman"/>
            <w:b w:val="false"/>
            <w:i w:val="false"/>
            <w:color w:val="000000"/>
            <w:sz w:val="22"/>
          </w:rPr>
          <w:t>113.10(2)</w:t>
        </w:r>
      </w:hyperlink>
      <w:r>
        <w:rPr>
          <w:rFonts w:ascii="Times New Roman" w:hAnsi="Times New Roman"/>
          <w:b w:val="false"/>
          <w:i/>
          <w:color w:val="000000"/>
          <w:sz w:val="22"/>
        </w:rPr>
        <w:t>“e”</w:t>
      </w:r>
      <w:r>
        <w:rPr>
          <w:rFonts w:ascii="Times New Roman" w:hAnsi="Times New Roman"/>
          <w:b w:val="false"/>
          <w:i w:val="false"/>
          <w:color w:val="000000"/>
          <w:sz w:val="22"/>
        </w:rPr>
        <w:t>(3), pertaining to notification of placement of certification in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63">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“c”</w:t>
      </w:r>
      <w:r>
        <w:rPr>
          <w:rFonts w:ascii="Times New Roman" w:hAnsi="Times New Roman"/>
          <w:b w:val="false"/>
          <w:i w:val="false"/>
          <w:color w:val="000000"/>
          <w:sz w:val="22"/>
        </w:rPr>
        <w:t>(1), pertaining to notification that statistically significant increase (SSI) notice is in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Subparagraphs </w:t>
      </w:r>
      <w:hyperlink r:id="rId164">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“c”</w:t>
      </w:r>
      <w:r>
        <w:rPr>
          <w:rFonts w:ascii="Times New Roman" w:hAnsi="Times New Roman"/>
          <w:b w:val="false"/>
          <w:i w:val="false"/>
          <w:color w:val="000000"/>
          <w:sz w:val="22"/>
        </w:rPr>
        <w:t>(2) and (3), pertaining to an assessment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65">
        <w:r>
          <w:rPr>
            <w:rStyle w:val="Hyperlink"/>
            <w:rFonts w:ascii="Times New Roman" w:hAnsi="Times New Roman"/>
            <w:b w:val="false"/>
            <w:i w:val="false"/>
            <w:color w:val="000000"/>
            <w:sz w:val="22"/>
          </w:rPr>
          <w:t>113.10(6)“</w:t>
        </w:r>
      </w:hyperlink>
      <w:r>
        <w:rPr>
          <w:rFonts w:ascii="Times New Roman" w:hAnsi="Times New Roman"/>
          <w:b w:val="false"/>
          <w:i w:val="false"/>
          <w:color w:val="000000"/>
          <w:sz w:val="22"/>
        </w:rPr>
        <w:t>b,” pertaining to sampling and analyzing Appendix II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66">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“d”</w:t>
      </w:r>
      <w:r>
        <w:rPr>
          <w:rFonts w:ascii="Times New Roman" w:hAnsi="Times New Roman"/>
          <w:b w:val="false"/>
          <w:i w:val="false"/>
          <w:color w:val="000000"/>
          <w:sz w:val="22"/>
        </w:rPr>
        <w:t>(1), pertaining to placement of notice (Appendix II constituents detected) in record and notification of placement of notice in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67">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“d”</w:t>
      </w:r>
      <w:r>
        <w:rPr>
          <w:rFonts w:ascii="Times New Roman" w:hAnsi="Times New Roman"/>
          <w:b w:val="false"/>
          <w:i w:val="false"/>
          <w:color w:val="000000"/>
          <w:sz w:val="22"/>
        </w:rPr>
        <w:t>(2), pertaining to sampling for Appendices I and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68">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“g,”</w:t>
      </w:r>
      <w:r>
        <w:rPr>
          <w:rFonts w:ascii="Times New Roman" w:hAnsi="Times New Roman"/>
          <w:b w:val="false"/>
          <w:i w:val="false"/>
          <w:color w:val="000000"/>
          <w:sz w:val="22"/>
        </w:rPr>
        <w:t xml:space="preserve"> pertaining to notification (and placement of notice in record) of SSI above groundwater protection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Numbered paragraph </w:t>
      </w:r>
      <w:hyperlink r:id="rId169">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“g”</w:t>
      </w:r>
      <w:r>
        <w:rPr>
          <w:rFonts w:ascii="Times New Roman" w:hAnsi="Times New Roman"/>
          <w:b w:val="false"/>
          <w:i w:val="false"/>
          <w:color w:val="000000"/>
          <w:sz w:val="22"/>
        </w:rPr>
        <w:t xml:space="preserve">(1)“4” and paragraph </w:t>
      </w:r>
      <w:hyperlink r:id="rId170">
        <w:r>
          <w:rPr>
            <w:rStyle w:val="Hyperlink"/>
            <w:rFonts w:ascii="Times New Roman" w:hAnsi="Times New Roman"/>
            <w:b w:val="false"/>
            <w:i w:val="false"/>
            <w:color w:val="000000"/>
            <w:sz w:val="22"/>
          </w:rPr>
          <w:t>113.10(7)</w:t>
        </w:r>
      </w:hyperlink>
      <w:r>
        <w:rPr>
          <w:rFonts w:ascii="Times New Roman" w:hAnsi="Times New Roman"/>
          <w:b w:val="false"/>
          <w:i/>
          <w:color w:val="000000"/>
          <w:sz w:val="22"/>
        </w:rPr>
        <w:t>“a,”</w:t>
      </w:r>
      <w:r>
        <w:rPr>
          <w:rFonts w:ascii="Times New Roman" w:hAnsi="Times New Roman"/>
          <w:b w:val="false"/>
          <w:i w:val="false"/>
          <w:color w:val="000000"/>
          <w:sz w:val="22"/>
        </w:rPr>
        <w:t xml:space="preserve"> pertaining to assessment of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71">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“a,”</w:t>
      </w:r>
      <w:r>
        <w:rPr>
          <w:rFonts w:ascii="Times New Roman" w:hAnsi="Times New Roman"/>
          <w:b w:val="false"/>
          <w:i w:val="false"/>
          <w:color w:val="000000"/>
          <w:sz w:val="22"/>
        </w:rPr>
        <w:t xml:space="preserve"> pertaining to selection of remedy and notification of placement in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72">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“f,”</w:t>
      </w:r>
      <w:r>
        <w:rPr>
          <w:rFonts w:ascii="Times New Roman" w:hAnsi="Times New Roman"/>
          <w:b w:val="false"/>
          <w:i w:val="false"/>
          <w:color w:val="000000"/>
          <w:sz w:val="22"/>
        </w:rPr>
        <w:t xml:space="preserve"> pertaining to notification of placement in record (certification of remedy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113.10(2)</w:t>
      </w:r>
      <w:r>
        <w:rPr>
          <w:rFonts w:ascii="Times New Roman" w:hAnsi="Times New Roman"/>
          <w:b w:val="false"/>
          <w:i w:val="false"/>
          <w:color w:val="000000"/>
          <w:sz w:val="22"/>
        </w:rPr>
        <w:t> </w:t>
      </w:r>
      <w:r>
        <w:rPr>
          <w:rFonts w:ascii="Times New Roman" w:hAnsi="Times New Roman"/>
          <w:b w:val="false"/>
          <w:i/>
          <w:color w:val="000000"/>
          <w:sz w:val="22"/>
        </w:rPr>
        <w:t xml:space="preserve">Groundwater monitoring systems. </w:t>
      </w:r>
      <w:r>
        <w:rPr>
          <w:rFonts w:ascii="Times New Roman" w:hAnsi="Times New Roman"/>
          <w:b w:val="false"/>
          <w:i w:val="false"/>
          <w:color w:val="000000"/>
          <w:sz w:val="22"/>
        </w:rPr>
        <w:t>All MSWLFs shall have a groundwater monitoring system that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groundwater monitoring system must be installed that meets the following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Yields groundwater samples from the uppermost aquifer that represent the quality of background groundwater that has not been affected by leakage from a unit. A determination of background quality may include sampling of wells that are not hydraulically upgradient of the waste management area where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Hydrogeologic conditions do not allow the owner or operator to determine which wells are hydraulically upgradient;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Sampling at other wells will provide an indication of background groundwater quality that is as representative as or more representative than that provided by the upgradient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Yields groundwater samples from the uppermost aquifer that represent the quality of groundwater passing the relevant point of compliance specified by the department under numbered paragraph </w:t>
      </w:r>
      <w:hyperlink r:id="rId173">
        <w:r>
          <w:rPr>
            <w:rStyle w:val="Hyperlink"/>
            <w:rFonts w:ascii="Times New Roman" w:hAnsi="Times New Roman"/>
            <w:b w:val="false"/>
            <w:i w:val="false"/>
            <w:color w:val="000000"/>
            <w:sz w:val="22"/>
          </w:rPr>
          <w:t>113.7(5)</w:t>
        </w:r>
      </w:hyperlink>
      <w:r>
        <w:rPr>
          <w:rFonts w:ascii="Times New Roman" w:hAnsi="Times New Roman"/>
          <w:b w:val="false"/>
          <w:i/>
          <w:color w:val="000000"/>
          <w:sz w:val="22"/>
        </w:rPr>
        <w:t>“a”</w:t>
      </w:r>
      <w:r>
        <w:rPr>
          <w:rFonts w:ascii="Times New Roman" w:hAnsi="Times New Roman"/>
          <w:b w:val="false"/>
          <w:i w:val="false"/>
          <w:color w:val="000000"/>
          <w:sz w:val="22"/>
        </w:rPr>
        <w:t xml:space="preserve">(2)“2.” The downgradient monitoring system must be installed at the relevant point of compliance specified by the department under numbered paragraph </w:t>
      </w:r>
      <w:hyperlink r:id="rId174">
        <w:r>
          <w:rPr>
            <w:rStyle w:val="Hyperlink"/>
            <w:rFonts w:ascii="Times New Roman" w:hAnsi="Times New Roman"/>
            <w:b w:val="false"/>
            <w:i w:val="false"/>
            <w:color w:val="000000"/>
            <w:sz w:val="22"/>
          </w:rPr>
          <w:t>113.7(5)</w:t>
        </w:r>
      </w:hyperlink>
      <w:r>
        <w:rPr>
          <w:rFonts w:ascii="Times New Roman" w:hAnsi="Times New Roman"/>
          <w:b w:val="false"/>
          <w:i/>
          <w:color w:val="000000"/>
          <w:sz w:val="22"/>
        </w:rPr>
        <w:t>“a”</w:t>
      </w:r>
      <w:r>
        <w:rPr>
          <w:rFonts w:ascii="Times New Roman" w:hAnsi="Times New Roman"/>
          <w:b w:val="false"/>
          <w:i w:val="false"/>
          <w:color w:val="000000"/>
          <w:sz w:val="22"/>
        </w:rPr>
        <w:t xml:space="preserve">(2)“2” that ensures detection of groundwater contamination in the uppermost aquifer. When physical obstacles preclude installation of groundwater monitoring wells at the relevant point of compliance at existing units, the downgradient monitoring system may be installed at the closest practicable distance, hydraulically downgradient from the relevant point of compliance specified by the department under numbered paragraph </w:t>
      </w:r>
      <w:hyperlink r:id="rId175">
        <w:r>
          <w:rPr>
            <w:rStyle w:val="Hyperlink"/>
            <w:rFonts w:ascii="Times New Roman" w:hAnsi="Times New Roman"/>
            <w:b w:val="false"/>
            <w:i w:val="false"/>
            <w:color w:val="000000"/>
            <w:sz w:val="22"/>
          </w:rPr>
          <w:t>113.7(5)</w:t>
        </w:r>
      </w:hyperlink>
      <w:r>
        <w:rPr>
          <w:rFonts w:ascii="Times New Roman" w:hAnsi="Times New Roman"/>
          <w:b w:val="false"/>
          <w:i/>
          <w:color w:val="000000"/>
          <w:sz w:val="22"/>
        </w:rPr>
        <w:t>“a”</w:t>
      </w:r>
      <w:r>
        <w:rPr>
          <w:rFonts w:ascii="Times New Roman" w:hAnsi="Times New Roman"/>
          <w:b w:val="false"/>
          <w:i w:val="false"/>
          <w:color w:val="000000"/>
          <w:sz w:val="22"/>
        </w:rPr>
        <w:t>(2)“2,” that ensures detection of groundwater contamination in the uppermost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a high level of certainty that releases of contaminants from the site can be promptly detected. Downgradient monitoring wells shall be placed along the site perimeter, within 50 feet of the planned liner or waste boundary unless site conditions dictate otherwise, downgradient of the facility with respect to the hydrologic unit being monitored. Each groundwater underdrain system shall be included in the groundwater detection monitoring program under subrule </w:t>
      </w:r>
      <w:hyperlink r:id="rId176">
        <w:r>
          <w:rPr>
            <w:rStyle w:val="Hyperlink"/>
            <w:rFonts w:ascii="Times New Roman" w:hAnsi="Times New Roman"/>
            <w:b w:val="false"/>
            <w:i w:val="false"/>
            <w:color w:val="000000"/>
            <w:sz w:val="22"/>
          </w:rPr>
          <w:t>113.10(5)</w:t>
        </w:r>
      </w:hyperlink>
      <w:r>
        <w:rPr>
          <w:rFonts w:ascii="Times New Roman" w:hAnsi="Times New Roman"/>
          <w:b w:val="false"/>
          <w:i w:val="false"/>
          <w:color w:val="000000"/>
          <w:sz w:val="22"/>
        </w:rPr>
        <w:t xml:space="preserve">. The maximum drainage area routed through each outfall shall not exceed 10 acres unless it can be demonstrated that site-specific factors such as drain flow capacity or site development sequencing require an alternative drainage area. If contamination is identified in the groundwater underdrain system pursuant to subrule </w:t>
      </w:r>
      <w:hyperlink r:id="rId177">
        <w:r>
          <w:rPr>
            <w:rStyle w:val="Hyperlink"/>
            <w:rFonts w:ascii="Times New Roman" w:hAnsi="Times New Roman"/>
            <w:b w:val="false"/>
            <w:i w:val="false"/>
            <w:color w:val="000000"/>
            <w:sz w:val="22"/>
          </w:rPr>
          <w:t>113.10(5)</w:t>
        </w:r>
      </w:hyperlink>
      <w:r>
        <w:rPr>
          <w:rFonts w:ascii="Times New Roman" w:hAnsi="Times New Roman"/>
          <w:b w:val="false"/>
          <w:i w:val="false"/>
          <w:color w:val="000000"/>
          <w:sz w:val="22"/>
        </w:rPr>
        <w:t>, the owner or operator shall manage the underdrain discharge as leachate in lieu of assessment monitoring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designed and constructed with the theoretical release evaluation pursuant to subparagraph </w:t>
      </w:r>
      <w:hyperlink r:id="rId178">
        <w:r>
          <w:rPr>
            <w:rStyle w:val="Hyperlink"/>
            <w:rFonts w:ascii="Times New Roman" w:hAnsi="Times New Roman"/>
            <w:b w:val="false"/>
            <w:i w:val="false"/>
            <w:color w:val="000000"/>
            <w:sz w:val="22"/>
          </w:rPr>
          <w:t>113.6(3)</w:t>
        </w:r>
      </w:hyperlink>
      <w:r>
        <w:rPr>
          <w:rFonts w:ascii="Times New Roman" w:hAnsi="Times New Roman"/>
          <w:b w:val="false"/>
          <w:i/>
          <w:color w:val="000000"/>
          <w:sz w:val="22"/>
        </w:rPr>
        <w:t>“e”</w:t>
      </w:r>
      <w:r>
        <w:rPr>
          <w:rFonts w:ascii="Times New Roman" w:hAnsi="Times New Roman"/>
          <w:b w:val="false"/>
          <w:i w:val="false"/>
          <w:color w:val="000000"/>
          <w:sz w:val="22"/>
        </w:rPr>
        <w:t>(6) taken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those facilities which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 provided that the multiphase unit groundwater monitoring system meets the requirements of paragraphs </w:t>
      </w:r>
      <w:hyperlink r:id="rId179">
        <w:r>
          <w:rPr>
            <w:rStyle w:val="Hyperlink"/>
            <w:rFonts w:ascii="Times New Roman" w:hAnsi="Times New Roman"/>
            <w:b w:val="false"/>
            <w:i w:val="false"/>
            <w:color w:val="000000"/>
            <w:sz w:val="22"/>
          </w:rPr>
          <w:t>113.10(2)</w:t>
        </w:r>
        <w:r>
          <w:rPr>
            <w:rFonts w:ascii="Times New Roman" w:hAnsi="Times New Roman"/>
            <w:b w:val="false"/>
            <w:i/>
            <w:color w:val="000000"/>
            <w:sz w:val="22"/>
          </w:rPr>
          <w:t>“a,”</w:t>
        </w:r>
      </w:hyperlink>
      <w:r>
        <w:rPr>
          <w:rFonts w:ascii="Times New Roman" w:hAnsi="Times New Roman"/>
          <w:b w:val="false"/>
          <w:i w:val="false"/>
          <w:color w:val="000000"/>
          <w:sz w:val="22"/>
        </w:rPr>
        <w:t> </w:t>
      </w:r>
    </w:p>
    <w:p>
      <w:pPr>
        <w:spacing w:before="0" w:after="0"/>
        <w:ind w:left="120"/>
        <w:jc w:val="both"/>
      </w:pPr>
      <w:hyperlink r:id="rId180">
        <w:r>
          <w:rPr>
            <w:rStyle w:val="Hyperlink"/>
            <w:rFonts w:ascii="Times New Roman" w:hAnsi="Times New Roman"/>
            <w:b w:val="false"/>
            <w:i w:val="false"/>
            <w:color w:val="000000"/>
            <w:sz w:val="22"/>
          </w:rPr>
          <w:t>113.10(2)</w:t>
        </w:r>
        <w:r>
          <w:rPr>
            <w:rFonts w:ascii="Times New Roman" w:hAnsi="Times New Roman"/>
            <w:b w:val="false"/>
            <w:i/>
            <w:color w:val="000000"/>
            <w:sz w:val="22"/>
          </w:rPr>
          <w:t>“c,”</w:t>
        </w:r>
      </w:hyperlink>
      <w:r>
        <w:rPr>
          <w:rFonts w:ascii="Times New Roman" w:hAnsi="Times New Roman"/>
          <w:b w:val="false"/>
          <w:i w:val="false"/>
          <w:color w:val="000000"/>
          <w:sz w:val="22"/>
        </w:rPr>
        <w:t> </w:t>
      </w:r>
    </w:p>
    <w:p>
      <w:pPr>
        <w:spacing w:before="0" w:after="0"/>
        <w:ind w:left="0"/>
        <w:jc w:val="both"/>
      </w:pPr>
      <w:hyperlink r:id="rId181">
        <w:r>
          <w:rPr>
            <w:rStyle w:val="Hyperlink"/>
            <w:rFonts w:ascii="Times New Roman" w:hAnsi="Times New Roman"/>
            <w:b w:val="false"/>
            <w:i w:val="false"/>
            <w:color w:val="000000"/>
            <w:sz w:val="22"/>
          </w:rPr>
          <w:t>113.10(2)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113.10(2)</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will be as protective of human health and the environment as the individual monitoring systems for each MSWLF unit, based 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spacing, and orientation of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Hydrogeologic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Engineering design of the MSWLF units;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waste accepted at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wells must be constructed and cased by a well contractor certified pursuant to </w:t>
      </w:r>
      <w:hyperlink r:id="rId183">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xml:space="preserve"> in a manner that maintains the integrity of the monitoring well borehole. This casing must be screened or perforated and packed with gravel or sand, where necessary, to enable collection of groundwater samples. The annular space (i.e., the space between the borehole and well casing) above the sampling depth must be sealed to prevent contamination of samples and the groundwater. Monitoring wells constructed in accordance with the rules in effect at the time of construction shall not be required to be abandoned and reconstructed as a result of subsequent amendments to these rules unless the department finds that the well is no longer providing representative groundwater samples. See Figure 1 for a general diagram of a properly constructed monitoring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the design, installation, development, and decommission of any monitoring wells, piezometers and other measurement, sampling, and analytical devices documentation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monitoring wells, piezometers, and other measurement, sampling, and analytical devices must be operated and maintained so that they perform to design specifications throughout the life of the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groundwater monitoring point must have a unique and permanent number, and that number must never change or be used again at the MSWLF. The types of groundwater monitoring points shall be identified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Monitoring wells by “MW# (Insert unique and permanent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Piezometers by “PZ# (Insert unique and permanent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Groundwater underdrain systems by “GU#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 construction shall be performed by a certified well contractor (pursuant to </w:t>
      </w:r>
      <w:hyperlink r:id="rId184">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and shall comply with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all phases of drilling, well installation and completion, the methods and materials used shall not introduce substances or contaminants that may alter the results of water quality analyses.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Drilling equipment that comes into contact with contaminants in the borehole or aboveground shall be thoroughly cleaned to avoid spreading contamination to other depths or locations. Contaminated materials or leachate from wells must not be discharged onto the ground surface or into waters of the state so as to cause harm in the process of drilling or well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owner or operator must ensure that, at a minimum, the well design and construction log information is maintained in the facility’s permanent record using DNR Form 542-1277 and that a copy is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Monitoring well casings shall comply with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diameter of the inner well casing (see Figure 1) of a monitoring well shall be at least 2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Plastic-cased wells shall be constructed of materials with threaded and nonglued joints that do not allow water infiltration under the local subsurface pressure conditions and when the well is evacuated for sampling.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Well casing shall provide sufficient structural stability so that a borehole or well collapse does not occur. Flush joint casing is required for small diameter wells installed through hollow stem augers.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Monitoring well screens shall comply with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Slot size shall be based on sieve analysis of the sand and gravel stratum or filter pack. The slot size must keep out at least 90 percent of the filter pack.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Slot configuration and open area must permit effective development of the well.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screen shall be no longer than 10 feet in length, except for water table wells, in which case the screen shall be of sufficient length to accommodate normal seasonal fluctuations of the water table. The screen shall be placed 5 feet above and below the observed water table, unless local conditions are known to produce greater fluctuations. Screen length for piezometers shall be 2 feet or less. Multiple-screened, single-cased wells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well filter packs shall comply with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filter pack shall extend at least 18 inches above and 12 inches below the well screen.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size of the filter pack material shall be based on sieve analysis when sand and gravel are screened. The filter pack material must be 2.5 to 3 times larger than the 50 percent grain size of the zone being monitored.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stratum that is neither sand nor gravel, the size of the filter pack material shall be selected based on the particle size of the zone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Monitoring well annular space shall comply with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Grouting materials must be installed from the top of the filter pack up in one continuous operation with a tremie tube.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annular space between the filter pack and the frostline must be backfilled with bentonite grout.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remaining annular space between the protective casing and the monitoring well casing must be sealed with bentonite grout from the frostline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Monitoring well heads shall be protected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Monitoring wells shall have a protective metal casing installed around the upper portion of the monitoring well casing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inside diameter of the protective metal casing shall be at least 2 inches larger than the outer diameter of the monitoring well casing.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protective metal casing shall extend from a minimum of 1 foot below the frostline to slightly above the well casing top; however, the protective casing shall be shortened if such a depth would cover a portion of the well screen.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protective casing shall be sealed and immobilized with a concrete plug around the outside. The bottom of the concrete plug must extend at least 1 foot below the frostline; however, the concrete plug shall be shortened if such a depth would cover a portion of the well screen. The top of the concrete plug shall extend at least 3 inches above the ground surface and slope away from the well. Soil may be placed above the plug and shall be at least 6 inches below the cap to improve runoff.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inside of the protective casing shall be sealed with bentonite grout from the frostline to the ground surface.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vented cap shall be placed on the monitoring well casing.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vented, locking cap shall be placed on the protective metal casing. The cap must be kept locked when the well is not being sampled.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monitoring wells shall have a ring of brightly colored protective posts or other protective barriers to help prevent accidental damage.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monitoring wells shall have a sign or permanent marking clearly identifying the permanent monitoring well number (MW#).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Run-on shall be directed away from all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Well development is required prior to the use of the monitoring well for water quality monitoring purposes. Well development must loosen and remove fines from the well screen and gravel pack. Any water utilized to stimulate well development must be of sufficient quality that future samples are not contaminated. Any gases utilized in well development must be inert gases that will not contaminate future samples. Following development, the well shall be pumped until the water does not contain significant amounts of suspended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monitoring points that are no longer functional must be sealed. Groundwater monitoring points that are to be sealed and are in a future waste disposal area shall be reviewed to determine if the method utilized to seal the monitoring point needs to be more protective than the following requirements. All abandoned groundwater-monitoring points (e.g., boreholes, monitoring wells, and piezometers) shall be sealed by a well contractor certified pursuant to </w:t>
      </w:r>
      <w:hyperlink r:id="rId185">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xml:space="preserve"> and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placed in the operating record and a copy sent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unique, permanent monitoring point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reasons for abandoning the monitoring point.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and time the monitoring point was sealed.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method utilized to remove monitoring point 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method utilized to seal the monitoring point.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Department Form 542-1226 for Water Well Abandonment Plugging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monitoring point materials (e.g., protective casing, casing, screen) shall be removed. If drilling is utilized to remove the materials, then the drilling shall be to the maximum depth of the previously drilled monitoring point. All drilling debris shall be cleaned from the interior of the borehole.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cleared borehole shall be sealed with impermeable bentonite grout via a tremie tube. The end of the tremie tube shall be submerged in the grout while filling from the bottom of the borehole to the top of the ground surface. Uncontaminated water shall be added from the surface as needed to aid grout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24 hours, the bentonite grout shall be retopped if it has settled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Hydrologic monitoring system plan (HMSP). Unless otherwise approved by the department in writing, the number, spacing, and depth of groundwater monitoring points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Determined based upon site-specific technical information, including but not limited to the soil and hydrogeologic investigation pursuant to subrule </w:t>
      </w:r>
      <w:hyperlink r:id="rId186">
        <w:r>
          <w:rPr>
            <w:rStyle w:val="Hyperlink"/>
            <w:rFonts w:ascii="Times New Roman" w:hAnsi="Times New Roman"/>
            <w:b w:val="false"/>
            <w:i w:val="false"/>
            <w:color w:val="000000"/>
            <w:sz w:val="22"/>
          </w:rPr>
          <w:t>113.6(3)</w:t>
        </w:r>
      </w:hyperlink>
      <w:r>
        <w:rPr>
          <w:rFonts w:ascii="Times New Roman" w:hAnsi="Times New Roman"/>
          <w:b w:val="false"/>
          <w:i w:val="false"/>
          <w:color w:val="000000"/>
          <w:sz w:val="22"/>
        </w:rPr>
        <w:t xml:space="preserve"> and the site exploration and characterization report pursuant to subrule </w:t>
      </w:r>
      <w:hyperlink r:id="rId187">
        <w:r>
          <w:rPr>
            <w:rStyle w:val="Hyperlink"/>
            <w:rFonts w:ascii="Times New Roman" w:hAnsi="Times New Roman"/>
            <w:b w:val="false"/>
            <w:i w:val="false"/>
            <w:color w:val="000000"/>
            <w:sz w:val="22"/>
          </w:rPr>
          <w:t>113.6(4)</w:t>
        </w:r>
      </w:hyperlink>
      <w:r>
        <w:rPr>
          <w:rFonts w:ascii="Times New Roman" w:hAnsi="Times New Roman"/>
          <w:b w:val="false"/>
          <w:i w:val="false"/>
          <w:color w:val="000000"/>
          <w:sz w:val="22"/>
        </w:rPr>
        <w:t>, that must include thorough characterization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Aquifer thickness, groundwater flow rate, and groundwater flow direction including seasonal and temporal fluctuations in groundwater flow;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Saturated and unsaturated geologic units and fill materials overlying the uppermost aquifer, materials comprising the uppermost aquifer, and materials comprising the confining unit defining the lower boundary of the uppermost aquifer, including, but not limited to: thicknesses, stratigraphy, lithology, hydraulic conductivities, porosities and effective porosities;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Projected paths and rates of movement of contaminants found in leachate pursuant to subparagraph </w:t>
      </w:r>
      <w:hyperlink r:id="rId188">
        <w:r>
          <w:rPr>
            <w:rStyle w:val="Hyperlink"/>
            <w:rFonts w:ascii="Times New Roman" w:hAnsi="Times New Roman"/>
            <w:b w:val="false"/>
            <w:i w:val="false"/>
            <w:color w:val="000000"/>
            <w:sz w:val="22"/>
          </w:rPr>
          <w:t>113.6(3)</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Designed and constructed with a maximum of 300 feet between downgradient groundwater monitoring wells, unless it is demonstrated by site-specific analysis or modeling that an alternative well spacing is justified. The convergence of groundwater paths to minimize the overall length of the downgradient dimension may be taken into consideration in the placement of downgradient monitoring wells provided that the groundwater monitoring system meets the requirements of paragraphs </w:t>
      </w:r>
      <w:hyperlink r:id="rId189">
        <w:r>
          <w:rPr>
            <w:rStyle w:val="Hyperlink"/>
            <w:rFonts w:ascii="Times New Roman" w:hAnsi="Times New Roman"/>
            <w:b w:val="false"/>
            <w:i w:val="false"/>
            <w:color w:val="000000"/>
            <w:sz w:val="22"/>
          </w:rPr>
          <w:t>113.10(2)</w:t>
        </w:r>
      </w:hyperlink>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120"/>
        <w:jc w:val="both"/>
      </w:pPr>
      <w:hyperlink r:id="rId190">
        <w:r>
          <w:rPr>
            <w:rStyle w:val="Hyperlink"/>
            <w:rFonts w:ascii="Times New Roman" w:hAnsi="Times New Roman"/>
            <w:b w:val="false"/>
            <w:i w:val="false"/>
            <w:color w:val="000000"/>
            <w:sz w:val="22"/>
          </w:rPr>
          <w:t>113.10(2)</w:t>
        </w:r>
      </w:hyperlink>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hyperlink r:id="rId191">
        <w:r>
          <w:rPr>
            <w:rStyle w:val="Hyperlink"/>
            <w:rFonts w:ascii="Times New Roman" w:hAnsi="Times New Roman"/>
            <w:b w:val="false"/>
            <w:i w:val="false"/>
            <w:color w:val="000000"/>
            <w:sz w:val="22"/>
          </w:rPr>
          <w:t>113.10(2)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92">
        <w:r>
          <w:rPr>
            <w:rStyle w:val="Hyperlink"/>
            <w:rFonts w:ascii="Times New Roman" w:hAnsi="Times New Roman"/>
            <w:b w:val="false"/>
            <w:i w:val="false"/>
            <w:color w:val="000000"/>
            <w:sz w:val="22"/>
          </w:rPr>
          <w:t>113.10(2)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by a qualified groundwater scientist, as defined in paragraph </w:t>
      </w:r>
      <w:hyperlink r:id="rId193">
        <w:r>
          <w:rPr>
            <w:rStyle w:val="Hyperlink"/>
            <w:rFonts w:ascii="Times New Roman" w:hAnsi="Times New Roman"/>
            <w:b w:val="false"/>
            <w:i w:val="false"/>
            <w:color w:val="000000"/>
            <w:sz w:val="22"/>
          </w:rPr>
          <w:t>113.10(1)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approved by the department. Within 14 days of this certification and approval by the department, the owner or operator must notify the department that the certification has been placed in the operating record.</w:t>
      </w:r>
    </w:p>
    <w:p>
      <w:pPr>
        <w:spacing w:before="0" w:after="0"/>
        <w:ind w:left="120"/>
        <w:jc w:val="both"/>
      </w:pPr>
      <w:r>
        <w:drawing>
          <wp:inline distT="0" distB="0" distL="0" distR="0">
            <wp:extent cx="4444841" cy="6349841"/>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94"/>
                    <a:stretch>
                      <a:fillRect/>
                    </a:stretch>
                  </pic:blipFill>
                  <pic:spPr>
                    <a:xfrm>
                      <a:off x="0" y="0"/>
                      <a:ext cx="4444841" cy="63498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Monitoring well maintenance and performance reevaluation plan. A monitoring well maintenance and performance reevaluation plan shall be included as part of the hydrologic monitoring system plan. The plan shall ensure that all monitoring points remain reliable. The plan shall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biennial examination of high and low water levels accompanied by a discussion of the acceptability of well location (vertically and horizontally) and exposure of the screened interval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water level conditions in the monitoring wells to ensure that the effects of waste disposal or well operation have not resulted in changes in the hydrologic setting and resultant flow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Measurements of well depths to ensure that wells are physically intact and not filling with sediment. Measurements shall be taken annually in wells which do not contain dedicated sampling pumps and every five years in wells containing dedicated sampling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well recharge rates and chemistry to determine if well deterioration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113.10(3)</w:t>
      </w:r>
      <w:r>
        <w:rPr>
          <w:rFonts w:ascii="Times New Roman" w:hAnsi="Times New Roman"/>
          <w:b w:val="false"/>
          <w:i w:val="false"/>
          <w:color w:val="000000"/>
          <w:sz w:val="22"/>
        </w:rPr>
        <w:t> </w:t>
      </w:r>
      <w:r>
        <w:rPr>
          <w:rFonts w:ascii="Times New Roman" w:hAnsi="Times New Roman"/>
          <w:b w:val="false"/>
          <w:i/>
          <w:color w:val="000000"/>
          <w:sz w:val="22"/>
        </w:rPr>
        <w:t xml:space="preserve">Surface water monitoring systems. </w:t>
      </w:r>
      <w:r>
        <w:rPr>
          <w:rFonts w:ascii="Times New Roman" w:hAnsi="Times New Roman"/>
          <w:b w:val="false"/>
          <w:i w:val="false"/>
          <w:color w:val="000000"/>
          <w:sz w:val="22"/>
        </w:rPr>
        <w:t>The department may require an MSWLF facility to implement a surface water monitoring program if there is reason to believe that a surface water of the state has been impacted as a result of facility operations (i.e., leachate seeps, sediment pond discharge) or a groundwater SSI over background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surface water monitoring program must be developed that consists of a sufficient number of monitoring points, designated at appropriate locations, to yield surface water samples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 representative sample of the upstream quality of a surface water of the state if the surface water being monitored is a flowing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representative sample of the downstream quality of a surface water of the state if the surface water being monitored is a flowing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Surface water levels must be measured at a frequency specified in the facility’s permit, within 1/10 of a foot at each surface water monitoring point immediately prior to sampling, each time surface water is sampled. The owner or operator must determine the rate and direction of surface water flow, if any, each time surface water is sampled. Surface water level and flow measurements for the same surface water of the state must be measured on the same day to avoid temporal variations that could preclude accurate determination of surface water flow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and receive approval from the department for the designation or decommission of any surface water monitoring point, and must place that approval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surface water monitoring points shall be designated to maintain sampling at that monitoring point throughout the life of the surface water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surface water monitoring point must have a unique and permanent number, and that number must never change or be used again at the MSWLF. Surface water monitoring points shall be identified by “SW#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spacing, and location of the surface water monitoring points shall be determined based upon site-specific technical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level, including seasonal and temporal fluctuations in water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Flow rate and flow direction, including seasonal and temporal fluctuations in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MSWLF may discontinue the surface water monitoring program if monitoring data indicates that facility operations are not impacting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113.10(4)</w:t>
      </w:r>
      <w:r>
        <w:rPr>
          <w:rFonts w:ascii="Times New Roman" w:hAnsi="Times New Roman"/>
          <w:b w:val="false"/>
          <w:i w:val="false"/>
          <w:color w:val="000000"/>
          <w:sz w:val="22"/>
        </w:rPr>
        <w:t> </w:t>
      </w:r>
      <w:r>
        <w:rPr>
          <w:rFonts w:ascii="Times New Roman" w:hAnsi="Times New Roman"/>
          <w:b w:val="false"/>
          <w:i/>
          <w:color w:val="000000"/>
          <w:sz w:val="22"/>
        </w:rPr>
        <w:t xml:space="preserve">Groundwater sampling and analysis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groundwater monitoring program must include consistent sampling and analysis procedures that are designed to ensure monitoring results that provide an accurate representation of groundwater quality at the background and downgradient wells installed in compliance with subrule </w:t>
      </w:r>
      <w:hyperlink r:id="rId195">
        <w:r>
          <w:rPr>
            <w:rStyle w:val="Hyperlink"/>
            <w:rFonts w:ascii="Times New Roman" w:hAnsi="Times New Roman"/>
            <w:b w:val="false"/>
            <w:i w:val="false"/>
            <w:color w:val="000000"/>
            <w:sz w:val="22"/>
          </w:rPr>
          <w:t>113.10(2)</w:t>
        </w:r>
      </w:hyperlink>
      <w:r>
        <w:rPr>
          <w:rFonts w:ascii="Times New Roman" w:hAnsi="Times New Roman"/>
          <w:b w:val="false"/>
          <w:i w:val="false"/>
          <w:color w:val="000000"/>
          <w:sz w:val="22"/>
        </w:rPr>
        <w:t>. The groundwater monitoring program shall utilize a laboratory certified by the department. The owner or operator must notify the department that the sampling and analysis program documentation has been placed in the operating record, and the program must include procedures and techniques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Sample preservation and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Analytical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Chain of custody control;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Quality assurance and quality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groundwater monitoring programs must include sampling and analytical methods that are appropriate for groundwater sampling and that accurately measure hazardous constituents and other monitoring parameters in groundwater samples. Groundwater samples shall not be field-filtered prior to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sampling procedures and frequency must be protective of human health and the environment, and consistent with subrule </w:t>
      </w:r>
      <w:hyperlink r:id="rId196">
        <w:r>
          <w:rPr>
            <w:rStyle w:val="Hyperlink"/>
            <w:rFonts w:ascii="Times New Roman" w:hAnsi="Times New Roman"/>
            <w:b w:val="false"/>
            <w:i w:val="false"/>
            <w:color w:val="000000"/>
            <w:sz w:val="22"/>
          </w:rPr>
          <w:t>113.10(5)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Groundwater elevations must be measured at a frequency specified in the facility’s permit, within 1/100 of a foot in each well immediately prior to purging, each time groundwater is sampled. The owner or operator must determine the rate and direction of groundwater flow each time groundwater is sampled. Groundwater elevations in wells which monitor the same waste management area must be measured within a period of time short enough to avoid temporal variations in groundwater flow which could preclude accurate determination of groundwater flow rate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background groundwater quality in a hydraulically upgradient or background well(s) for each of the monitoring parameters or constituents required in the particular groundwater monitoring program that applies to the MSWLF unit, as determined under paragraph </w:t>
      </w:r>
      <w:hyperlink r:id="rId197">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198">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“a.”</w:t>
      </w:r>
      <w:r>
        <w:rPr>
          <w:rFonts w:ascii="Times New Roman" w:hAnsi="Times New Roman"/>
          <w:b w:val="false"/>
          <w:i w:val="false"/>
          <w:color w:val="000000"/>
          <w:sz w:val="22"/>
        </w:rPr>
        <w:t xml:space="preserve"> Background groundwater quality may be established at wells that are not located hydraulically upgradient from the MSWLF unit if the wells meet the requirements of subparagraph </w:t>
      </w:r>
      <w:hyperlink r:id="rId199">
        <w:r>
          <w:rPr>
            <w:rStyle w:val="Hyperlink"/>
            <w:rFonts w:ascii="Times New Roman" w:hAnsi="Times New Roman"/>
            <w:b w:val="false"/>
            <w:i w:val="false"/>
            <w:color w:val="000000"/>
            <w:sz w:val="22"/>
          </w:rPr>
          <w:t>113.10(2)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samples collected to establish groundwater quality data must be consistent with the appropriate statistical procedures determined pursuant to paragraph </w:t>
      </w:r>
      <w:hyperlink r:id="rId200">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sampling procedures shall be those specified under paragraphs </w:t>
      </w:r>
      <w:hyperlink r:id="rId201">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detection monitoring, </w:t>
      </w:r>
      <w:hyperlink r:id="rId202">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03">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assessment monitoring, and </w:t>
      </w:r>
      <w:hyperlink r:id="rId204">
        <w:r>
          <w:rPr>
            <w:rStyle w:val="Hyperlink"/>
            <w:rFonts w:ascii="Times New Roman" w:hAnsi="Times New Roman"/>
            <w:b w:val="false"/>
            <w:i w:val="false"/>
            <w:color w:val="000000"/>
            <w:sz w:val="22"/>
          </w:rPr>
          <w:t>113.10(7)</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specify in the operating record which of the following statistical methods will be used in evaluating groundwater monitoring data for each hazardous constituent. The statistical test chosen shall be conducted separately for each hazardous constituent in each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parametric analysis of variance (ANOVA) followed by multiple comparisons procedures to identify statistically significant evidence of contamination. The method must include estimation and testing of the contrasts between each compliance well’s mean and the background mean levels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variance (ANOVA) based on ranks followed by multiple comparisons procedures to identify statistically significant evidence of contamination. The method must include estimation and testing of the contrasts between each compliance well’s median and the background median levels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tolerance or prediction interval procedure in which an interval for each constituent is established from the distribution of the background data, and the level of each constituent in each compliance well is compared to the upper tolerance or prediction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control chart approach that gives control limits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statistical test method that meets the performance standards of paragraph </w:t>
      </w:r>
      <w:hyperlink r:id="rId205">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owner or operator must place a justification for this alternative in the operating record and notify the department of the use of this alternative test. The justification must demonstrate that the alternative method meets the performance standards of paragraph </w:t>
      </w:r>
      <w:hyperlink r:id="rId206">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statistical method required pursuant to paragraph </w:t>
      </w:r>
      <w:hyperlink r:id="rId207">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comply with the following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statistical method used to evaluate groundwater monitoring data shall be appropriate for the distribution of chemical parameters or hazardous constituents. If the distribution of the chemical parameters or hazardous constituents is shown by the owner or operator to be inappropriate for a normal theory test, then the data shall be transformed or a distribution-free theory test shall be used. If the distributions for the constituents differ, more than one statistical method may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individual well comparison procedure is used to compare an individual compliance well constituent concentration with background constituent concentrations or a groundwater protection standard, the test shall be done at a Type I error level not less than 0.01 for each testing period. If a multiple comparisons procedure is used, the Type I experimentwise error rate for each testing period shall be not less than 0.05; however, the Type I error level of not less than 0.01 for individual well comparisons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control chart approach is used to evaluate groundwater monitoring data, the specific type of control chart and its associated parameter values shall be protective of human health and the environment. The parameters shall be determined after the number of samples in the background data base, the data distribution, and the range of the concentration values for each constituent of concern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tolerance interval or a predictional interval is used to evaluate groundwater monitoring data, the levels of confidence and, for tolerance intervals, the percentage of the population that the interval must contain, shall be protective of human health and the environment. These parameters shall be determined after the number of samples in the background data base, the data distribution, and the range of the concentration values for each constituent of concern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statistical method shall account for data below the limit of detection (LD) by recording such data at one-half the limit of detection (i.e., LD/2) or as prescribed by the statistical method. Any practical quantitation limit (pql) that is used in the statistical method shall be the lowest concentration level that can be reliably achieved within specified limits of precision and accuracy during routine laboratory operating conditions that are available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necessary, the statistical method shall include procedures to control or correct for seasonal and spatial variability as well as temporal correlation in the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determine whether or not there is an SSI over background values for each parameter or constituent required in the particular groundwater monitoring program that applies to the MSWLF unit, as determined under paragraph </w:t>
      </w:r>
      <w:hyperlink r:id="rId208">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209">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an SSI has occurred, the owner or operator must compare the groundwater quality of each parameter or constituent at each monitoring well designated pursuant to </w:t>
      </w:r>
      <w:hyperlink r:id="rId210">
        <w:r>
          <w:rPr>
            <w:rStyle w:val="Hyperlink"/>
            <w:rFonts w:ascii="Times New Roman" w:hAnsi="Times New Roman"/>
            <w:b w:val="false"/>
            <w:i w:val="false"/>
            <w:color w:val="000000"/>
            <w:sz w:val="22"/>
          </w:rPr>
          <w:t>subrule 113.10(2)</w:t>
        </w:r>
      </w:hyperlink>
      <w:r>
        <w:rPr>
          <w:rFonts w:ascii="Times New Roman" w:hAnsi="Times New Roman"/>
          <w:b w:val="false"/>
          <w:i w:val="false"/>
          <w:color w:val="000000"/>
          <w:sz w:val="22"/>
        </w:rPr>
        <w:t xml:space="preserve"> to the background value of that constituent, according to the statistical procedures and performance standards specified under paragraphs </w:t>
      </w:r>
      <w:hyperlink r:id="rId211">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45 days after completing sampling and analysis, the owner or operator must determine whether there has been an SSI over background at each monitoring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113.10(5)</w:t>
      </w:r>
      <w:r>
        <w:rPr>
          <w:rFonts w:ascii="Times New Roman" w:hAnsi="Times New Roman"/>
          <w:b w:val="false"/>
          <w:i w:val="false"/>
          <w:color w:val="000000"/>
          <w:sz w:val="22"/>
        </w:rPr>
        <w:t> </w:t>
      </w:r>
      <w:r>
        <w:rPr>
          <w:rFonts w:ascii="Times New Roman" w:hAnsi="Times New Roman"/>
          <w:b w:val="false"/>
          <w:i/>
          <w:color w:val="000000"/>
          <w:sz w:val="22"/>
        </w:rPr>
        <w:t xml:space="preserve">Detection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Detection monitoring is required at MSWLF units at all groundwater monitoring wells defined under subrule </w:t>
      </w:r>
      <w:hyperlink r:id="rId213">
        <w:r>
          <w:rPr>
            <w:rStyle w:val="Hyperlink"/>
            <w:rFonts w:ascii="Times New Roman" w:hAnsi="Times New Roman"/>
            <w:b w:val="false"/>
            <w:i w:val="false"/>
            <w:color w:val="000000"/>
            <w:sz w:val="22"/>
          </w:rPr>
          <w:t>113.10(2)</w:t>
        </w:r>
      </w:hyperlink>
      <w:r>
        <w:rPr>
          <w:rFonts w:ascii="Times New Roman" w:hAnsi="Times New Roman"/>
          <w:b w:val="false"/>
          <w:i w:val="false"/>
          <w:color w:val="000000"/>
          <w:sz w:val="22"/>
        </w:rPr>
        <w:t>. At a minimum, a detection monitoring program must include the monitoring for the constituents listed in Appendix I and any additional parameters required by the department on a site-specific basis. An alternative list of constituents may be used if it can be demonstrated that the constituents removed are not reasonably expected to be in or derived from the waste contained in the unit and if the alternative list of constituents is expected to provide a reliable indication of leachate leakage or gas impact from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establish an alternative list of inorganic indicator parameters for an MSWLF unit within Appendix I, in lieu of some or all of the heavy metals (constituents 1 to 15 in Appendix I), if the alternative parameters provide a reliable indication of inorganic releases from the MSWLF unit to the groundwater. In determining alternative parameters, the department shall consider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types, quantities and concentrations of constituents in wastes managed at the MSWLF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mobility, stability and persistence of waste constituents or their reaction products in the unsaturated zone beneath the MSWLF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detectability of indicator parameters, waste constituents and reaction products in the groundwater;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concentration or values and coefficients of variation of monitoring parameters or constituents in the groundwater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monitoring frequency for all constituents listed in Appendix I or in the alternative list approved in accordance with subparagraph </w:t>
      </w:r>
      <w:hyperlink r:id="rId214">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shall be at least semiannual (i.e., every six months) during the active life of the facility (including closure) and the postclosure period. Where insufficient background data exist, a minimum of five independent samples from each well, collected at intervals to account for seasonal and temporal variation, must be analyzed for the constituents in Appendix I or in the alternative list approved in accordance with subparagraph </w:t>
      </w:r>
      <w:hyperlink r:id="rId215">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during the first year. At least one sample from each well must be collected and analyzed during subsequent semiannual sampling events. The department may specify an appropriate alternative frequency for repeated sampling and analysis for constituents in Appendix I or in the alternative list approved in accordance with subparagraph </w:t>
      </w:r>
      <w:hyperlink r:id="rId216">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“a”</w:t>
      </w:r>
      <w:r>
        <w:rPr>
          <w:rFonts w:ascii="Times New Roman" w:hAnsi="Times New Roman"/>
          <w:b w:val="false"/>
          <w:i w:val="false"/>
          <w:color w:val="000000"/>
          <w:sz w:val="22"/>
        </w:rPr>
        <w:t>(1) during the active life (including closure) and the postclosure care period. The alternative frequency during the active life (including closure) shall be not less than annually. The alternative frequency shall be based on consideration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Lithology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Hydraulic conductivity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flow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distance between upgradient edge of the MSWLF unit and downgradient monitoring well screen (minimum distance of travel);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 value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determines, pursuant to paragraph </w:t>
      </w:r>
      <w:hyperlink r:id="rId217">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“i,”</w:t>
      </w:r>
      <w:r>
        <w:rPr>
          <w:rFonts w:ascii="Times New Roman" w:hAnsi="Times New Roman"/>
          <w:b w:val="false"/>
          <w:i w:val="false"/>
          <w:color w:val="000000"/>
          <w:sz w:val="22"/>
        </w:rPr>
        <w:t xml:space="preserve"> that there is an SSI over background for one or more of the constituents listed in Appendix I or in the alternative list approved in accordance with subparagraph </w:t>
      </w:r>
      <w:hyperlink r:id="rId218">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at any monitoring well specified under subrule </w:t>
      </w:r>
      <w:hyperlink r:id="rId219">
        <w:r>
          <w:rPr>
            <w:rStyle w:val="Hyperlink"/>
            <w:rFonts w:ascii="Times New Roman" w:hAnsi="Times New Roman"/>
            <w:b w:val="false"/>
            <w:i w:val="false"/>
            <w:color w:val="000000"/>
            <w:sz w:val="22"/>
          </w:rPr>
          <w:t>113.10(2)</w:t>
        </w:r>
      </w:hyperlink>
      <w:r>
        <w:rPr>
          <w:rFonts w:ascii="Times New Roman" w:hAnsi="Times New Roman"/>
          <w:b w:val="false"/>
          <w:i w:val="false"/>
          <w:color w:val="000000"/>
          <w:sz w:val="22"/>
        </w:rPr>
        <w:t>, then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within 14 days of this finding, place a notice in the operating record indicating which constituents have shown statistically significant changes from background levels, and notify the department that this notice was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Must establish within 90 days an assessment monitoring program meeting the requirements of subrule </w:t>
      </w:r>
      <w:hyperlink r:id="rId220">
        <w:r>
          <w:rPr>
            <w:rStyle w:val="Hyperlink"/>
            <w:rFonts w:ascii="Times New Roman" w:hAnsi="Times New Roman"/>
            <w:b w:val="false"/>
            <w:i w:val="false"/>
            <w:color w:val="000000"/>
            <w:sz w:val="22"/>
          </w:rPr>
          <w:t>113.10(6)</w:t>
        </w:r>
      </w:hyperlink>
      <w:r>
        <w:rPr>
          <w:rFonts w:ascii="Times New Roman" w:hAnsi="Times New Roman"/>
          <w:b w:val="false"/>
          <w:i w:val="false"/>
          <w:color w:val="000000"/>
          <w:sz w:val="22"/>
        </w:rPr>
        <w:t xml:space="preserve"> except as provided in subparagraph </w:t>
      </w:r>
      <w:hyperlink r:id="rId221">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resampling is a part of the demonstration, resampling procedures shall be specified prior to initial sampling. If a successful demonstration to the department is made and documented, the owner or operator may continue detection monitoring as specified in subrule </w:t>
      </w:r>
      <w:hyperlink r:id="rId222">
        <w:r>
          <w:rPr>
            <w:rStyle w:val="Hyperlink"/>
            <w:rFonts w:ascii="Times New Roman" w:hAnsi="Times New Roman"/>
            <w:b w:val="false"/>
            <w:i w:val="false"/>
            <w:color w:val="000000"/>
            <w:sz w:val="22"/>
          </w:rPr>
          <w:t>113.10(5)</w:t>
        </w:r>
      </w:hyperlink>
      <w:r>
        <w:rPr>
          <w:rFonts w:ascii="Times New Roman" w:hAnsi="Times New Roman"/>
          <w:b w:val="false"/>
          <w:i w:val="false"/>
          <w:color w:val="000000"/>
          <w:sz w:val="22"/>
        </w:rPr>
        <w:t xml:space="preserve">. If, after 90 days, a successful demonstration is not made, the owner or operator must initiate an assessment monitoring program as required in subrule </w:t>
      </w:r>
      <w:hyperlink r:id="rId223">
        <w:r>
          <w:rPr>
            <w:rStyle w:val="Hyperlink"/>
            <w:rFonts w:ascii="Times New Roman" w:hAnsi="Times New Roman"/>
            <w:b w:val="false"/>
            <w:i w:val="false"/>
            <w:color w:val="000000"/>
            <w:sz w:val="22"/>
          </w:rPr>
          <w:t>113.10(6)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113.10(6)</w:t>
      </w:r>
      <w:r>
        <w:rPr>
          <w:rFonts w:ascii="Times New Roman" w:hAnsi="Times New Roman"/>
          <w:b w:val="false"/>
          <w:i w:val="false"/>
          <w:color w:val="000000"/>
          <w:sz w:val="22"/>
        </w:rPr>
        <w:t> </w:t>
      </w:r>
      <w:r>
        <w:rPr>
          <w:rFonts w:ascii="Times New Roman" w:hAnsi="Times New Roman"/>
          <w:b w:val="false"/>
          <w:i/>
          <w:color w:val="000000"/>
          <w:sz w:val="22"/>
        </w:rPr>
        <w:t xml:space="preserve">Assessment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monitoring is required whenever an SSI over background has been confirmed pursuant to paragraph </w:t>
      </w:r>
      <w:hyperlink r:id="rId224">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“c”</w:t>
      </w:r>
      <w:r>
        <w:rPr>
          <w:rFonts w:ascii="Times New Roman" w:hAnsi="Times New Roman"/>
          <w:b w:val="false"/>
          <w:i w:val="false"/>
          <w:color w:val="000000"/>
          <w:sz w:val="22"/>
        </w:rPr>
        <w:t xml:space="preserve"> to be the result of a release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90 days of triggering an assessment monitoring program, and annually thereafter, the owner or operator must sample and analyze the groundwater for all constituents identified in Appendix II. A minimum of one sample from each downgradient well shall be collected and analyzed during each sampling event. For any constituent detected in the downgradient wells as a result of the complete Appendix II analysis, a minimum of four independent samples from each well must be collected and analyzed to establish background for the constituents. The department may specify an appropriate subset of wells to be sampled and analyzed for Appendix II constituents during assessment monitoring. The department may delete any of the Appendix II monitoring parameters for an MSWLF unit if it can be shown that the removed constituents are not reasonably expected to be in or derived from the waste contained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specify an appropriate alternate frequency for repeated sampling and analysis for the full set of Appendix II constituents required by paragraph </w:t>
      </w:r>
      <w:hyperlink r:id="rId225">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“b”</w:t>
      </w:r>
      <w:r>
        <w:rPr>
          <w:rFonts w:ascii="Times New Roman" w:hAnsi="Times New Roman"/>
          <w:b w:val="false"/>
          <w:i w:val="false"/>
          <w:color w:val="000000"/>
          <w:sz w:val="22"/>
        </w:rPr>
        <w:t xml:space="preserve"> during the active life (including closure) and postclosure care period of the unit. The following factors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Lithology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Hydraulic conductivity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flow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distance between upgradient edge of the MSWLF unit and downgradient monitoring well screen (minimum distance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 value of the aquifer;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Nature (fate and transport) of any constituents detected in response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obtaining the results from the initial or subsequent sampling events required in paragraph </w:t>
      </w:r>
      <w:hyperlink r:id="rId226">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14 days, place a notice in the operating record identifying the Appendix II constituents that have been detected and notify the department that this notice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and on at least a semiannual basis thereafter, resample all wells specified by </w:t>
      </w:r>
      <w:hyperlink r:id="rId227">
        <w:r>
          <w:rPr>
            <w:rStyle w:val="Hyperlink"/>
            <w:rFonts w:ascii="Times New Roman" w:hAnsi="Times New Roman"/>
            <w:b w:val="false"/>
            <w:i w:val="false"/>
            <w:color w:val="000000"/>
            <w:sz w:val="22"/>
          </w:rPr>
          <w:t>subrule 113.10(2)</w:t>
        </w:r>
      </w:hyperlink>
      <w:r>
        <w:rPr>
          <w:rFonts w:ascii="Times New Roman" w:hAnsi="Times New Roman"/>
          <w:b w:val="false"/>
          <w:i w:val="false"/>
          <w:color w:val="000000"/>
          <w:sz w:val="22"/>
        </w:rPr>
        <w:t xml:space="preserve"> and conduct analyses for all constituents in Appendix I or in the alternative list approved in accordance with subparagraph </w:t>
      </w:r>
      <w:hyperlink r:id="rId228">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for those constituents in Appendix II that are detected in response to the requirements of paragraph </w:t>
      </w:r>
      <w:hyperlink r:id="rId229">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“b.”</w:t>
      </w:r>
      <w:r>
        <w:rPr>
          <w:rFonts w:ascii="Times New Roman" w:hAnsi="Times New Roman"/>
          <w:b w:val="false"/>
          <w:i w:val="false"/>
          <w:color w:val="000000"/>
          <w:sz w:val="22"/>
        </w:rPr>
        <w:t xml:space="preserve"> Concentrations shall be recorded in the facility operating record. At least one sample from each well must be collected and analyzed during these sampling events. The department may specify an alternative monitoring frequency during the active life (including closure) and the postclosure period for the constituents referred to in this subparagraph. The alternative frequency for constituents in Appendix I or in the alternative list approved in accordance with subparagraph </w:t>
      </w:r>
      <w:hyperlink r:id="rId230">
        <w:r>
          <w:rPr>
            <w:rStyle w:val="Hyperlink"/>
            <w:rFonts w:ascii="Times New Roman" w:hAnsi="Times New Roman"/>
            <w:b w:val="false"/>
            <w:i w:val="false"/>
            <w:color w:val="000000"/>
            <w:sz w:val="22"/>
          </w:rPr>
          <w:t>113.10(5)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during the active life (including closure) shall be no less than annual. The alternative frequency shall be based on consideration of the factors specified in paragraph </w:t>
      </w:r>
      <w:hyperlink r:id="rId231">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background concentrations for any constituents detected pursuant to paragraph </w:t>
      </w:r>
      <w:hyperlink r:id="rId232">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“b”</w:t>
      </w:r>
      <w:r>
        <w:rPr>
          <w:rFonts w:ascii="Times New Roman" w:hAnsi="Times New Roman"/>
          <w:b w:val="false"/>
          <w:i w:val="false"/>
          <w:color w:val="000000"/>
          <w:sz w:val="22"/>
        </w:rPr>
        <w:t xml:space="preserve"> or subparagraph </w:t>
      </w:r>
      <w:hyperlink r:id="rId233">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groundwater protection standards for all constituents detected pursuant to paragraph </w:t>
      </w:r>
      <w:hyperlink r:id="rId234">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235">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groundwater protection standards shall be established in accordance with paragraph </w:t>
      </w:r>
      <w:hyperlink r:id="rId236">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37">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concentrations of all Appendix II constituents are shown to be at or below background values, using the statistical procedures in paragraph </w:t>
      </w:r>
      <w:hyperlink r:id="rId238">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“g”</w:t>
      </w:r>
      <w:r>
        <w:rPr>
          <w:rFonts w:ascii="Times New Roman" w:hAnsi="Times New Roman"/>
          <w:b w:val="false"/>
          <w:i w:val="false"/>
          <w:color w:val="000000"/>
          <w:sz w:val="22"/>
        </w:rPr>
        <w:t xml:space="preserve"> for two consecutive sampling events, the owner or operator must notify the department of this finding and may return to detection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concentrations of any Appendix II constituents are above background values, but all concentrations are below the groundwater protection standard established under paragraph </w:t>
      </w:r>
      <w:hyperlink r:id="rId239">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40">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r>
        <w:rPr>
          <w:rFonts w:ascii="Times New Roman" w:hAnsi="Times New Roman"/>
          <w:b w:val="false"/>
          <w:i w:val="false"/>
          <w:color w:val="000000"/>
          <w:sz w:val="22"/>
        </w:rPr>
        <w:t xml:space="preserve"> using the statistical procedures in paragraph </w:t>
      </w:r>
      <w:hyperlink r:id="rId241">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owner or operator must continue assessment monitoring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one or more Appendix II constituents are detected at statistically significant levels above the groundwater protection standard established under paragraph </w:t>
      </w:r>
      <w:hyperlink r:id="rId242">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43">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r>
        <w:rPr>
          <w:rFonts w:ascii="Times New Roman" w:hAnsi="Times New Roman"/>
          <w:b w:val="false"/>
          <w:i w:val="false"/>
          <w:color w:val="000000"/>
          <w:sz w:val="22"/>
        </w:rPr>
        <w:t xml:space="preserve"> in any sampling event, the owner or operator must, within 14 days of this finding, place a notice in the operating record identifying the Appendix II constituents that have exceeded the groundwater protection standard and notify the department and all other appropriate local government officials that the notice has been placed in the operating record. The owner or operator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Must, within 90 days of this finding, comply with the following requirements or the requirements in subparagraph </w:t>
      </w:r>
      <w:hyperlink r:id="rId244">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“g”</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Characterize the nature and extent of the release by installing additional monitoring wells as necessary until the horizontal and vertical dimensions of the plume have been defined to background concentrations;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Install at least one additional monitoring well at the facility boundary in the direction of contaminant migration and sample this well in accordance with subparagraph </w:t>
      </w:r>
      <w:hyperlink r:id="rId245">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“g”</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Notify all persons who own the land or reside on the land that directly overlies any part of the plume of contamination if contaminants have migrated off site when indicated by sampling of wells in accordance with subparagraph </w:t>
      </w:r>
      <w:hyperlink r:id="rId246">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“g”</w:t>
      </w:r>
      <w:r>
        <w:rPr>
          <w:rFonts w:ascii="Times New Roman" w:hAnsi="Times New Roman"/>
          <w:b w:val="false"/>
          <w:i w:val="false"/>
          <w:color w:val="000000"/>
          <w:sz w:val="22"/>
        </w:rPr>
        <w:t>(1);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Initiate an assessment of corrective measures as required by subrule </w:t>
      </w:r>
      <w:hyperlink r:id="rId247">
        <w:r>
          <w:rPr>
            <w:rStyle w:val="Hyperlink"/>
            <w:rFonts w:ascii="Times New Roman" w:hAnsi="Times New Roman"/>
            <w:b w:val="false"/>
            <w:i w:val="false"/>
            <w:color w:val="000000"/>
            <w:sz w:val="22"/>
          </w:rPr>
          <w:t>113.10(7)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a successful demonstration is made, the owner or operator must continue monitoring in accordance with the assessment monitoring program pursuant to subrule </w:t>
      </w:r>
      <w:hyperlink r:id="rId248">
        <w:r>
          <w:rPr>
            <w:rStyle w:val="Hyperlink"/>
            <w:rFonts w:ascii="Times New Roman" w:hAnsi="Times New Roman"/>
            <w:b w:val="false"/>
            <w:i w:val="false"/>
            <w:color w:val="000000"/>
            <w:sz w:val="22"/>
          </w:rPr>
          <w:t>113.10(6)</w:t>
        </w:r>
      </w:hyperlink>
      <w:r>
        <w:rPr>
          <w:rFonts w:ascii="Times New Roman" w:hAnsi="Times New Roman"/>
          <w:b w:val="false"/>
          <w:i w:val="false"/>
          <w:color w:val="000000"/>
          <w:sz w:val="22"/>
        </w:rPr>
        <w:t xml:space="preserve">, and may return to detection monitoring if the Appendix II constituents are at or below background as specified in paragraph </w:t>
      </w:r>
      <w:hyperlink r:id="rId249">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a successful demonstration is made, the owner or operator must comply with paragraph </w:t>
      </w:r>
      <w:hyperlink r:id="rId250">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“g”</w:t>
      </w:r>
      <w:r>
        <w:rPr>
          <w:rFonts w:ascii="Times New Roman" w:hAnsi="Times New Roman"/>
          <w:b w:val="false"/>
          <w:i w:val="false"/>
          <w:color w:val="000000"/>
          <w:sz w:val="22"/>
        </w:rPr>
        <w:t xml:space="preserve"> including initiating an assessment of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establish a groundwater protection standard for each Appendix II constituent detected in the groundwater. The groundwater protection standard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constituents for which a maximum contaminant level (MCL) has been promulgated under Section 1412 of the Safe Drinking Water Act (codified) under 40 CFR Part 141, the MCL for that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constituents for which MCLs have not been promulgated, the background concentration for the constituent established from wells in accordance with subrule </w:t>
      </w:r>
      <w:hyperlink r:id="rId251">
        <w:r>
          <w:rPr>
            <w:rStyle w:val="Hyperlink"/>
            <w:rFonts w:ascii="Times New Roman" w:hAnsi="Times New Roman"/>
            <w:b w:val="false"/>
            <w:i w:val="false"/>
            <w:color w:val="000000"/>
            <w:sz w:val="22"/>
          </w:rPr>
          <w:t>113.10(2)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constituents for which the background concentration is higher than the MCL identified under subparagraph </w:t>
      </w:r>
      <w:hyperlink r:id="rId252">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(1) or health-based concentrations identified under paragraph </w:t>
      </w:r>
      <w:hyperlink r:id="rId253">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background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establish an alternative groundwater protection standard for constituents for which MCLs have not been established. These groundwater protection standards shall be appropriate health-based concentrations that comply with the statewide standards for groundwater established pursuant to </w:t>
      </w:r>
      <w:hyperlink r:id="rId254">
        <w:r>
          <w:rPr>
            <w:rStyle w:val="Hyperlink"/>
            <w:rFonts w:ascii="Times New Roman" w:hAnsi="Times New Roman"/>
            <w:b w:val="false"/>
            <w:i w:val="false"/>
            <w:color w:val="000000"/>
            <w:sz w:val="22"/>
          </w:rPr>
          <w:t>567—Chapter 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alternative groundwater protection standards under paragraph </w:t>
      </w:r>
      <w:hyperlink r:id="rId255">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department may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policies set forth by the Groundwater Protection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contaminants in the groundwater with the assumption that the effects are additive regarding detrimental effects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Exposure threats to sensitive environmental receptors;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site-specific exposure or potential exposure to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113.10(7)</w:t>
      </w:r>
      <w:r>
        <w:rPr>
          <w:rFonts w:ascii="Times New Roman" w:hAnsi="Times New Roman"/>
          <w:b w:val="false"/>
          <w:i w:val="false"/>
          <w:color w:val="000000"/>
          <w:sz w:val="22"/>
        </w:rPr>
        <w:t> </w:t>
      </w:r>
      <w:r>
        <w:rPr>
          <w:rFonts w:ascii="Times New Roman" w:hAnsi="Times New Roman"/>
          <w:b w:val="false"/>
          <w:i/>
          <w:color w:val="000000"/>
          <w:sz w:val="22"/>
        </w:rPr>
        <w:t xml:space="preserve">Assessment of corrective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of finding that any of the constituents listed in Appendix II have been detected at a statistically significant level exceeding the groundwater protection standards defined under paragraph </w:t>
      </w:r>
      <w:hyperlink r:id="rId256">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57">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owner or operator must initiate an assessment of corrective measures. Such an assessment must be completed and submitted to the department for review and approval within 180 days of the initial finding unless otherwise authorized or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continue to monitor in accordance with the assessment monitoring program as specified in subrule </w:t>
      </w:r>
      <w:hyperlink r:id="rId258">
        <w:r>
          <w:rPr>
            <w:rStyle w:val="Hyperlink"/>
            <w:rFonts w:ascii="Times New Roman" w:hAnsi="Times New Roman"/>
            <w:b w:val="false"/>
            <w:i w:val="false"/>
            <w:color w:val="000000"/>
            <w:sz w:val="22"/>
          </w:rPr>
          <w:t>113.10(6)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shall include an analysis of the effectiveness of potential corrective measures in meeting all of the requirements and objectives of the remedy as described under subrule </w:t>
      </w:r>
      <w:hyperlink r:id="rId259">
        <w:r>
          <w:rPr>
            <w:rStyle w:val="Hyperlink"/>
            <w:rFonts w:ascii="Times New Roman" w:hAnsi="Times New Roman"/>
            <w:b w:val="false"/>
            <w:i w:val="false"/>
            <w:color w:val="000000"/>
            <w:sz w:val="22"/>
          </w:rPr>
          <w:t>113.10(8)</w:t>
        </w:r>
      </w:hyperlink>
      <w:r>
        <w:rPr>
          <w:rFonts w:ascii="Times New Roman" w:hAnsi="Times New Roman"/>
          <w:b w:val="false"/>
          <w:i w:val="false"/>
          <w:color w:val="000000"/>
          <w:sz w:val="22"/>
        </w:rPr>
        <w:t>, addressing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performance, reliability, ease of implementation, and potential impacts of appropriate potential remedies, including safety impacts, cross-media impacts, and control of exposure to any residual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required to begin and complete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costs of remedy implementation;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institutional requirements such as state or local permit requirements or other environmental or public health requirements that may substantially affect implementation of the remedy(ies).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60 days of approval from the department of the assessment of corrective measures, the owner or operator must discuss the results of the corrective measures assessment, prior to the selection of a remedy, in a public meeting with interested and affected parties. The department may establish an alternative schedule for completing the public meeting requirement. Notice of public meeting shall be sent to all owners and occupiers of property adjacent to the permitted boundary of the facility, the department, and the department field office with jurisdiction over the facility. A copy of the minutes of this public meeting and the list of community concerns must be placed in the operating record and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113.10(8)</w:t>
      </w:r>
      <w:r>
        <w:rPr>
          <w:rFonts w:ascii="Times New Roman" w:hAnsi="Times New Roman"/>
          <w:b w:val="false"/>
          <w:i w:val="false"/>
          <w:color w:val="000000"/>
          <w:sz w:val="22"/>
        </w:rPr>
        <w:t> </w:t>
      </w:r>
      <w:r>
        <w:rPr>
          <w:rFonts w:ascii="Times New Roman" w:hAnsi="Times New Roman"/>
          <w:b w:val="false"/>
          <w:i/>
          <w:color w:val="000000"/>
          <w:sz w:val="22"/>
        </w:rPr>
        <w:t xml:space="preserve">Selection of remedy.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results of the corrective measures assessment conducted under subrule </w:t>
      </w:r>
      <w:hyperlink r:id="rId260">
        <w:r>
          <w:rPr>
            <w:rStyle w:val="Hyperlink"/>
            <w:rFonts w:ascii="Times New Roman" w:hAnsi="Times New Roman"/>
            <w:b w:val="false"/>
            <w:i w:val="false"/>
            <w:color w:val="000000"/>
            <w:sz w:val="22"/>
          </w:rPr>
          <w:t>113.10(7)</w:t>
        </w:r>
      </w:hyperlink>
      <w:r>
        <w:rPr>
          <w:rFonts w:ascii="Times New Roman" w:hAnsi="Times New Roman"/>
          <w:b w:val="false"/>
          <w:i w:val="false"/>
          <w:color w:val="000000"/>
          <w:sz w:val="22"/>
        </w:rPr>
        <w:t xml:space="preserve">, the owner or operator must select a remedy within 60 days of holding the public meeting that, at a minimum, meets the standards listed in paragraph </w:t>
      </w:r>
      <w:hyperlink r:id="rId261">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may establish an alternative schedule for selecting a remedy after holding the public meeting. The owner or operator must submit a report to the department, within 14 days of selecting a remedy, describing the selected remedy, stating that the report has been placed in the operating record, and explaining how the selected remedy meets the standards in paragraph </w:t>
      </w:r>
      <w:hyperlink r:id="rId262">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Remedies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Attain the groundwater protection standards specified pursuant to paragraph </w:t>
      </w:r>
      <w:hyperlink r:id="rId263">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64">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 the source(s) of releases so as to reduce or eliminate, to the maximum extent practicable, further releases of Appendix II constituents into the environment that may pose a threat to human health or the environment;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standards for management of wastes as specified in paragraph </w:t>
      </w:r>
      <w:hyperlink r:id="rId265">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selecting a remedy that meets the standards of paragraph </w:t>
      </w:r>
      <w:hyperlink r:id="rId266">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or operator shall consider the following evaluation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long-term and short-term effectiveness and protectiveness of the potential remedy(ies), along with the degree of certainty that the remedy will prove successful based on consideration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Magnitude of reduction of existing risks;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Magnitude of residual risks in terms of likelihood of further releases due to waste remaining following implementation of a remedy;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type and degree of long-term management required, including monitoring, operation, and maintenance;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Short-term risks that might be posed to the community, workers, or the environment during implementation of such a remedy, including potential threats to human health and the environment associated with excavation, transportation, redisposal, or containment;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Time period until full protection is achieved;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Potential for exposure of humans and environmental receptors to remaining wastes, considering the potential threat to human health and the environment associated with excavation, transportation, redisposal, or containment;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Long-term reliability of the engineering and institutional controls;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Potential need for replacement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remedy in controlling the source to reduce further releases based on consideration of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to which containment practices will reduce further releases;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extent to which treatment technologies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ease or difficulty of implementing a potential remedy(ies) based on consideration of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Degree of difficulty associated with constructing the technology;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Expected operational reliability of the technology;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Need to coordinate with and obtain necessary approvals and permits from other agencies;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Availability of necessary equipment and specialists;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Available capacity and location of needed treatment, storage, and disposal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Practicable capability of the owner or operator, including a consideration of technical and economic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degree to which community concerns, including but not limited to the concerns identified at the public meeting required pursuant to paragraph </w:t>
      </w:r>
      <w:hyperlink r:id="rId267">
        <w:r>
          <w:rPr>
            <w:rStyle w:val="Hyperlink"/>
            <w:rFonts w:ascii="Times New Roman" w:hAnsi="Times New Roman"/>
            <w:b w:val="false"/>
            <w:i w:val="false"/>
            <w:color w:val="000000"/>
            <w:sz w:val="22"/>
          </w:rPr>
          <w:t>113.10(7)</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addressed by a potential remedy(ies).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specify as part of the selected remedy a schedule(s) for initiating and completing remedial activities. Such a schedule must require the initiation of remedial activities within a reasonable period of time taking into consideration the factors set forth in subparagraphs </w:t>
      </w:r>
      <w:hyperlink r:id="rId268">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“d”</w:t>
      </w:r>
      <w:r>
        <w:rPr>
          <w:rFonts w:ascii="Times New Roman" w:hAnsi="Times New Roman"/>
          <w:b w:val="false"/>
          <w:i w:val="false"/>
          <w:color w:val="000000"/>
          <w:sz w:val="22"/>
        </w:rPr>
        <w:t>(1) to (8). The owner or operator must consider the following factors in determining the schedule of remedial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Extent and nature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Practical capabilities of remedial technologies in achieving compliance with groundwater protection standards established under paragraph </w:t>
      </w:r>
      <w:hyperlink r:id="rId269">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70">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other objectives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Availability of treatment or disposal capacity for wastes managed during implementation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Desirability of utilizing alternative or experimental technologies that are not widely available, but which may offer significant advantages over already available technologies in terms of effectiveness, reliability, safety, or ability to achieve remedial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Potential risks to human health and the environment from exposure to contamination prior to completion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Resource value of the aquifer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Current and future uses;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Proximity and withdrawal rate of users;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Groundwater quantity and quality;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potential damage to wildlife, crops, vegetation, and physical structures caused by exposure to waste constituents;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hydrogeologic characteristics of the facility and surrounding land;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Groundwater removal and treatment costs;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cost and availability of alternative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Practicable capability of the owner or operator;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113.10(9)</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the corrective action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schedule established under paragraph </w:t>
      </w:r>
      <w:hyperlink r:id="rId271">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initiation and completion of remedial activities,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implement a corrective action groundwater monitoring program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 a minimum, meets the requirements of an assessment monitoring program under subrule </w:t>
      </w:r>
      <w:hyperlink r:id="rId272">
        <w:r>
          <w:rPr>
            <w:rStyle w:val="Hyperlink"/>
            <w:rFonts w:ascii="Times New Roman" w:hAnsi="Times New Roman"/>
            <w:b w:val="false"/>
            <w:i w:val="false"/>
            <w:color w:val="000000"/>
            <w:sz w:val="22"/>
          </w:rPr>
          <w:t>113.10(6)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Indicates the effectiveness of the corrective action remedy;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Demonstrates compliance with groundwater protection standards pursuant to paragraph </w:t>
      </w:r>
      <w:hyperlink r:id="rId273">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 the corrective action remedy selected under subrule </w:t>
      </w:r>
      <w:hyperlink r:id="rId274">
        <w:r>
          <w:rPr>
            <w:rStyle w:val="Hyperlink"/>
            <w:rFonts w:ascii="Times New Roman" w:hAnsi="Times New Roman"/>
            <w:b w:val="false"/>
            <w:i w:val="false"/>
            <w:color w:val="000000"/>
            <w:sz w:val="22"/>
          </w:rPr>
          <w:t>113.10(8)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Take any interim measures necessary to ensure the protection of human health and the environment. Interim measures should, to the greatest extent practicable, be consistent with the objectives of and contribute to the performance of any remedy that may be required pursuant to subrule </w:t>
      </w:r>
      <w:hyperlink r:id="rId275">
        <w:r>
          <w:rPr>
            <w:rStyle w:val="Hyperlink"/>
            <w:rFonts w:ascii="Times New Roman" w:hAnsi="Times New Roman"/>
            <w:b w:val="false"/>
            <w:i w:val="false"/>
            <w:color w:val="000000"/>
            <w:sz w:val="22"/>
          </w:rPr>
          <w:t>113.10(8)</w:t>
        </w:r>
      </w:hyperlink>
      <w:r>
        <w:rPr>
          <w:rFonts w:ascii="Times New Roman" w:hAnsi="Times New Roman"/>
          <w:b w:val="false"/>
          <w:i w:val="false"/>
          <w:color w:val="000000"/>
          <w:sz w:val="22"/>
        </w:rPr>
        <w:t>. The following factors must be considered by an owner or operator in determining whether interim measures are necessary: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Time period required to develop and implement a final remedy;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Actual or potential exposure of nearby populations or environmental receptors to hazardous constituents;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Actual or potential contamination of drinking water supplies or sensitive ecosystems;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Further degradation of the groundwater that may occur if remedial action is not initiated expeditiously;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Weather conditions that may cause hazardous constituents to migrate or be released;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Risk of fire or explosion, or potential for exposure to hazardous constituents as a result of an accident or the failure of a container or handling system;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factors that may pose threats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determine, based on information developed after implementation of the remedy has begun or other information, that compliance with the requirements of paragraph </w:t>
      </w:r>
      <w:hyperlink r:id="rId276">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being achieved through the remedy selected. In such cases, the owner or operator must notify the department and implement other methods or techniques that could practicably achieve compliance with the requirements, unless the owner or operator makes the determination under paragraph </w:t>
      </w:r>
      <w:hyperlink r:id="rId277">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notification shall explain how the proposed alternative methods or techniques will meet the standards in paragraph </w:t>
      </w:r>
      <w:hyperlink r:id="rId278">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notification shall indicate that the determination was made pursuant to paragraph </w:t>
      </w:r>
      <w:hyperlink r:id="rId279">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notification shall also specify a schedule(s) for implementing and completing the remedial activities to comply with paragraph </w:t>
      </w:r>
      <w:hyperlink r:id="rId280">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alternative measures to comply with paragraph </w:t>
      </w:r>
      <w:hyperlink r:id="rId281">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 xml:space="preserve">“c.” </w:t>
      </w:r>
      <w:r>
        <w:rPr>
          <w:rFonts w:ascii="Times New Roman" w:hAnsi="Times New Roman"/>
          <w:b w:val="false"/>
          <w:i w:val="false"/>
          <w:color w:val="000000"/>
          <w:sz w:val="22"/>
        </w:rPr>
        <w:t xml:space="preserve">Within 90 days of approval by the department for the proposed alternative methods or techniques or the determination of impracticability, the owner or operator shall implement the proposed alternative methods or techniques meeting the standards of paragraph </w:t>
      </w:r>
      <w:hyperlink r:id="rId282">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implement alternative measures meeting the requirements of subparagraphs </w:t>
      </w:r>
      <w:hyperlink r:id="rId283">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“c”</w:t>
      </w:r>
      <w:r>
        <w:rPr>
          <w:rFonts w:ascii="Times New Roman" w:hAnsi="Times New Roman"/>
          <w:b w:val="false"/>
          <w:i w:val="false"/>
          <w:color w:val="000000"/>
          <w:sz w:val="22"/>
        </w:rPr>
        <w:t>(2)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determines that compliance with requirements under paragraph </w:t>
      </w:r>
      <w:hyperlink r:id="rId284">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r>
        <w:rPr>
          <w:rFonts w:ascii="Times New Roman" w:hAnsi="Times New Roman"/>
          <w:b w:val="false"/>
          <w:i w:val="false"/>
          <w:color w:val="000000"/>
          <w:sz w:val="22"/>
        </w:rPr>
        <w:t xml:space="preserve"> cannot be practicably achieved with any currently available methods,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certification of a qualified groundwater scientist and approval by the department that compliance with requirements under paragraph </w:t>
      </w:r>
      <w:hyperlink r:id="rId285">
        <w:r>
          <w:rPr>
            <w:rStyle w:val="Hyperlink"/>
            <w:rFonts w:ascii="Times New Roman" w:hAnsi="Times New Roman"/>
            <w:b w:val="false"/>
            <w:i w:val="false"/>
            <w:color w:val="000000"/>
            <w:sz w:val="22"/>
          </w:rPr>
          <w:t>113.10(8)</w:t>
        </w:r>
      </w:hyperlink>
      <w:r>
        <w:rPr>
          <w:rFonts w:ascii="Times New Roman" w:hAnsi="Times New Roman"/>
          <w:b w:val="false"/>
          <w:i/>
          <w:color w:val="000000"/>
          <w:sz w:val="22"/>
        </w:rPr>
        <w:t>“b”</w:t>
      </w:r>
      <w:r>
        <w:rPr>
          <w:rFonts w:ascii="Times New Roman" w:hAnsi="Times New Roman"/>
          <w:b w:val="false"/>
          <w:i w:val="false"/>
          <w:color w:val="000000"/>
          <w:sz w:val="22"/>
        </w:rPr>
        <w:t xml:space="preserve"> cannot be practicably achieved with any currently available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 alternate measures to control exposure of humans or the environment to residual contamination, as necessary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 alternate measures for control of the sources of contamination, or for removal or decontamination of equipment, units, devices, or structures that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Technically practicable;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Consistent with the overall objective of the remedy;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14 days that a report justifying the alternate measures prior to implementation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solid wastes that are managed pursuant to a remedy required under subrule </w:t>
      </w:r>
      <w:hyperlink r:id="rId286">
        <w:r>
          <w:rPr>
            <w:rStyle w:val="Hyperlink"/>
            <w:rFonts w:ascii="Times New Roman" w:hAnsi="Times New Roman"/>
            <w:b w:val="false"/>
            <w:i w:val="false"/>
            <w:color w:val="000000"/>
            <w:sz w:val="22"/>
          </w:rPr>
          <w:t>113.10(8)</w:t>
        </w:r>
      </w:hyperlink>
      <w:r>
        <w:rPr>
          <w:rFonts w:ascii="Times New Roman" w:hAnsi="Times New Roman"/>
          <w:b w:val="false"/>
          <w:i w:val="false"/>
          <w:color w:val="000000"/>
          <w:sz w:val="22"/>
        </w:rPr>
        <w:t xml:space="preserve">, or an interim measure required under subparagraph </w:t>
      </w:r>
      <w:hyperlink r:id="rId287">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“a”</w:t>
      </w:r>
      <w:r>
        <w:rPr>
          <w:rFonts w:ascii="Times New Roman" w:hAnsi="Times New Roman"/>
          <w:b w:val="false"/>
          <w:i w:val="false"/>
          <w:color w:val="000000"/>
          <w:sz w:val="22"/>
        </w:rPr>
        <w:t>(3), shall be managed in a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is protective of human health and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complies with applicable RCRA,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Remedies selected pursuant to subrule </w:t>
      </w:r>
      <w:hyperlink r:id="rId288">
        <w:r>
          <w:rPr>
            <w:rStyle w:val="Hyperlink"/>
            <w:rFonts w:ascii="Times New Roman" w:hAnsi="Times New Roman"/>
            <w:b w:val="false"/>
            <w:i w:val="false"/>
            <w:color w:val="000000"/>
            <w:sz w:val="22"/>
          </w:rPr>
          <w:t>113.10(8)</w:t>
        </w:r>
      </w:hyperlink>
      <w:r>
        <w:rPr>
          <w:rFonts w:ascii="Times New Roman" w:hAnsi="Times New Roman"/>
          <w:b w:val="false"/>
          <w:i w:val="false"/>
          <w:color w:val="000000"/>
          <w:sz w:val="22"/>
        </w:rPr>
        <w:t xml:space="preserve"> shall be considered complete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complies with the groundwater protection standards established under paragraph </w:t>
      </w:r>
      <w:hyperlink r:id="rId289">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90">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“i”</w:t>
      </w:r>
      <w:r>
        <w:rPr>
          <w:rFonts w:ascii="Times New Roman" w:hAnsi="Times New Roman"/>
          <w:b w:val="false"/>
          <w:i w:val="false"/>
          <w:color w:val="000000"/>
          <w:sz w:val="22"/>
        </w:rPr>
        <w:t xml:space="preserve"> at all points within the plume of contamination that lie beyond the groundwater monitoring well system established under subrule </w:t>
      </w:r>
      <w:hyperlink r:id="rId291">
        <w:r>
          <w:rPr>
            <w:rStyle w:val="Hyperlink"/>
            <w:rFonts w:ascii="Times New Roman" w:hAnsi="Times New Roman"/>
            <w:b w:val="false"/>
            <w:i w:val="false"/>
            <w:color w:val="000000"/>
            <w:sz w:val="22"/>
          </w:rPr>
          <w:t>113.10(2)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groundwater protection standards established under paragraph </w:t>
      </w:r>
      <w:hyperlink r:id="rId292">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93">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 xml:space="preserve">“i” </w:t>
      </w:r>
      <w:r>
        <w:rPr>
          <w:rFonts w:ascii="Times New Roman" w:hAnsi="Times New Roman"/>
          <w:b w:val="false"/>
          <w:i w:val="false"/>
          <w:color w:val="000000"/>
          <w:sz w:val="22"/>
        </w:rPr>
        <w:t xml:space="preserve">has been achieved by demonstrating that concentrations of Appendix II constituents have not exceeded the groundwater protection standard(s) for a period of three consecutive years using the statistical procedures and performance standards in paragraphs </w:t>
      </w:r>
      <w:hyperlink r:id="rId294">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295">
        <w:r>
          <w:rPr>
            <w:rStyle w:val="Hyperlink"/>
            <w:rFonts w:ascii="Times New Roman" w:hAnsi="Times New Roman"/>
            <w:b w:val="false"/>
            <w:i w:val="false"/>
            <w:color w:val="000000"/>
            <w:sz w:val="22"/>
          </w:rPr>
          <w:t>113.10(4)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department may specify an alternative length of time during which the owner or operator must demonstrate that concentrations of Appendix II constituents have not exceeded the groundwater protection standard(s), taking into consideration: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and concentration of the release(s);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behavior characteristics of the hazardous constituents in the groundwater;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accuracy of monitoring or modeling techniques, including any seasonal, meteorological, or other environmental variables that may affect accuracy;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characteristics of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actions required by the department to complete the remedy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remedy, the owner or operator must notify the department within 14 days that a certification has been placed in the operating record verifying that the remedy has been completed in compliance with the requirements of paragraph </w:t>
      </w:r>
      <w:hyperlink r:id="rId296">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certification must be signed by the owner or operator and by a qualified groundwater scientist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upon completion of the certification, the owner or operator determines that the corrective action remedy has been completed in accordance with the requirements under paragraph </w:t>
      </w:r>
      <w:hyperlink r:id="rId297">
        <w:r>
          <w:rPr>
            <w:rStyle w:val="Hyperlink"/>
            <w:rFonts w:ascii="Times New Roman" w:hAnsi="Times New Roman"/>
            <w:b w:val="false"/>
            <w:i w:val="false"/>
            <w:color w:val="000000"/>
            <w:sz w:val="22"/>
          </w:rPr>
          <w:t>113.10(9)</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owner or operator shall be released from the requirements for financial assurance for corrective action pursuant to subrule </w:t>
      </w:r>
      <w:hyperlink r:id="rId298">
        <w:r>
          <w:rPr>
            <w:rStyle w:val="Hyperlink"/>
            <w:rFonts w:ascii="Times New Roman" w:hAnsi="Times New Roman"/>
            <w:b w:val="false"/>
            <w:i w:val="false"/>
            <w:color w:val="000000"/>
            <w:sz w:val="22"/>
          </w:rPr>
          <w:t>113.14(5)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113.10(10)</w:t>
      </w:r>
      <w:r>
        <w:rPr>
          <w:rFonts w:ascii="Times New Roman" w:hAnsi="Times New Roman"/>
          <w:b w:val="false"/>
          <w:i w:val="false"/>
          <w:color w:val="000000"/>
          <w:sz w:val="22"/>
        </w:rPr>
        <w:t> </w:t>
      </w:r>
      <w:r>
        <w:rPr>
          <w:rFonts w:ascii="Times New Roman" w:hAnsi="Times New Roman"/>
          <w:b w:val="false"/>
          <w:i/>
          <w:color w:val="000000"/>
          <w:sz w:val="22"/>
        </w:rPr>
        <w:t xml:space="preserve">Annual water quality reports. </w:t>
      </w:r>
      <w:r>
        <w:rPr>
          <w:rFonts w:ascii="Times New Roman" w:hAnsi="Times New Roman"/>
          <w:b w:val="false"/>
          <w:i w:val="false"/>
          <w:color w:val="000000"/>
          <w:sz w:val="22"/>
        </w:rPr>
        <w:t>The owner or operator shall submit an annual report to the department detailing the water quality monitoring sampling locations and results, assessments, selection of remedies, implementation of corrective action, and the results of corrective action remedies to address SSIs, if any, during the previous year. This report shall include a site map that delineates all monitoring points where water quality samples were taken, and plumes of contamination, if any. The report shall contain a narrative explaining and interpreting all of the data collected during the previous year. The report shall be due each year on a date set by the department in the facility’s permit.</w:t>
      </w:r>
    </w:p>
    <w:p>
      <w:pPr>
        <w:spacing w:before="0" w:after="0"/>
        <w:ind w:left="120"/>
        <w:jc w:val="both"/>
      </w:pPr>
      <w:r>
        <w:rPr>
          <w:rFonts w:ascii="Times New Roman" w:hAnsi="Times New Roman"/>
          <w:b/>
          <w:i w:val="false"/>
          <w:color w:val="000000"/>
          <w:sz w:val="22"/>
        </w:rPr>
        <w:t>567—113.11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Record-keeping and reporting requirements. </w:t>
      </w:r>
      <w:r>
        <w:rPr>
          <w:rFonts w:ascii="Times New Roman" w:hAnsi="Times New Roman"/>
          <w:b w:val="false"/>
          <w:i w:val="false"/>
          <w:color w:val="000000"/>
          <w:sz w:val="22"/>
        </w:rPr>
        <w:t xml:space="preserve">The primary purpose of the record-keeping and reporting activities is to verify compliance with this chapter and to document the construction and operations of the facility. The department can set alternative schedules for record-keeping and notification requirements as specified in subrules </w:t>
      </w:r>
      <w:hyperlink r:id="rId299">
        <w:r>
          <w:rPr>
            <w:rStyle w:val="Hyperlink"/>
            <w:rFonts w:ascii="Times New Roman" w:hAnsi="Times New Roman"/>
            <w:b w:val="false"/>
            <w:i w:val="false"/>
            <w:color w:val="000000"/>
            <w:sz w:val="22"/>
          </w:rPr>
          <w:t>113.11(1)</w:t>
        </w:r>
      </w:hyperlink>
      <w:r>
        <w:rPr>
          <w:rFonts w:ascii="Times New Roman" w:hAnsi="Times New Roman"/>
          <w:b w:val="false"/>
          <w:i w:val="false"/>
          <w:color w:val="000000"/>
          <w:sz w:val="22"/>
        </w:rPr>
        <w:t xml:space="preserve"> and </w:t>
      </w:r>
      <w:hyperlink r:id="rId300">
        <w:r>
          <w:rPr>
            <w:rStyle w:val="Hyperlink"/>
            <w:rFonts w:ascii="Times New Roman" w:hAnsi="Times New Roman"/>
            <w:b w:val="false"/>
            <w:i w:val="false"/>
            <w:color w:val="000000"/>
            <w:sz w:val="22"/>
          </w:rPr>
          <w:t>113.11(2)</w:t>
        </w:r>
      </w:hyperlink>
      <w:r>
        <w:rPr>
          <w:rFonts w:ascii="Times New Roman" w:hAnsi="Times New Roman"/>
          <w:b w:val="false"/>
          <w:i w:val="false"/>
          <w:color w:val="000000"/>
          <w:sz w:val="22"/>
        </w:rPr>
        <w:t xml:space="preserve">, except for the notification requirements in paragraph </w:t>
      </w:r>
      <w:hyperlink r:id="rId301">
        <w:r>
          <w:rPr>
            <w:rStyle w:val="Hyperlink"/>
            <w:rFonts w:ascii="Times New Roman" w:hAnsi="Times New Roman"/>
            <w:b w:val="false"/>
            <w:i w:val="false"/>
            <w:color w:val="000000"/>
            <w:sz w:val="22"/>
          </w:rPr>
          <w:t>113.6(2)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numbered paragraph </w:t>
      </w:r>
      <w:hyperlink r:id="rId302">
        <w:r>
          <w:rPr>
            <w:rStyle w:val="Hyperlink"/>
            <w:rFonts w:ascii="Times New Roman" w:hAnsi="Times New Roman"/>
            <w:b w:val="false"/>
            <w:i w:val="false"/>
            <w:color w:val="000000"/>
            <w:sz w:val="22"/>
          </w:rPr>
          <w:t>113.10(6)</w:t>
        </w:r>
      </w:hyperlink>
      <w:r>
        <w:rPr>
          <w:rFonts w:ascii="Times New Roman" w:hAnsi="Times New Roman"/>
          <w:b w:val="false"/>
          <w:i/>
          <w:color w:val="000000"/>
          <w:sz w:val="22"/>
        </w:rPr>
        <w:t>“g”</w:t>
      </w:r>
      <w:r>
        <w:rPr>
          <w:rFonts w:ascii="Times New Roman" w:hAnsi="Times New Roman"/>
          <w:b w:val="false"/>
          <w:i w:val="false"/>
          <w:color w:val="000000"/>
          <w:sz w:val="22"/>
        </w:rPr>
        <w:t>(1)“3.” All MSWLFs shall comply with the following record-keeping and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113.11(1)</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The owner or operator of an MSWLF unit must record and retain near the facility in an operating record or in an alternative location approved by the department the following information as it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 permit renewal and permit modification application materials pursuant to rule </w:t>
      </w:r>
      <w:hyperlink r:id="rId303">
        <w:r>
          <w:rPr>
            <w:rStyle w:val="Hyperlink"/>
            <w:rFonts w:ascii="Times New Roman" w:hAnsi="Times New Roman"/>
            <w:b w:val="false"/>
            <w:i w:val="false"/>
            <w:color w:val="000000"/>
            <w:sz w:val="22"/>
          </w:rPr>
          <w:t>567—113.5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exploration and characterization reports pursuant to subrule </w:t>
      </w:r>
      <w:hyperlink r:id="rId304">
        <w:r>
          <w:rPr>
            <w:rStyle w:val="Hyperlink"/>
            <w:rFonts w:ascii="Times New Roman" w:hAnsi="Times New Roman"/>
            <w:b w:val="false"/>
            <w:i w:val="false"/>
            <w:color w:val="000000"/>
            <w:sz w:val="22"/>
          </w:rPr>
          <w:t>113.6(4)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and construction plans and specifications, and related analyses and documents, pursuant to rule </w:t>
      </w:r>
      <w:hyperlink r:id="rId305">
        <w:r>
          <w:rPr>
            <w:rStyle w:val="Hyperlink"/>
            <w:rFonts w:ascii="Times New Roman" w:hAnsi="Times New Roman"/>
            <w:b w:val="false"/>
            <w:i w:val="false"/>
            <w:color w:val="000000"/>
            <w:sz w:val="22"/>
          </w:rPr>
          <w:t>567—113.7</w:t>
        </w:r>
      </w:hyperlink>
      <w:r>
        <w:rPr>
          <w:rFonts w:ascii="Times New Roman" w:hAnsi="Times New Roman"/>
          <w:b w:val="false"/>
          <w:i w:val="false"/>
          <w:color w:val="000000"/>
          <w:sz w:val="22"/>
        </w:rPr>
        <w:t xml:space="preserve">(455B). The QC&amp;A final reports, and related analyses and documents, pursuant to paragraph </w:t>
      </w:r>
      <w:hyperlink r:id="rId306">
        <w:r>
          <w:rPr>
            <w:rStyle w:val="Hyperlink"/>
            <w:rFonts w:ascii="Times New Roman" w:hAnsi="Times New Roman"/>
            <w:b w:val="false"/>
            <w:i w:val="false"/>
            <w:color w:val="000000"/>
            <w:sz w:val="22"/>
          </w:rPr>
          <w:t>113.7(6)</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records, training procedures, and notification procedures required in rule </w:t>
      </w:r>
      <w:hyperlink r:id="rId307">
        <w:r>
          <w:rPr>
            <w:rStyle w:val="Hyperlink"/>
            <w:rFonts w:ascii="Times New Roman" w:hAnsi="Times New Roman"/>
            <w:b w:val="false"/>
            <w:i w:val="false"/>
            <w:color w:val="000000"/>
            <w:sz w:val="22"/>
          </w:rPr>
          <w:t>567—113.8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MSWLF unit design documentation for placement of leachate or gas condensate in an MSWLF unit as required under numbered paragraphs </w:t>
      </w:r>
      <w:hyperlink r:id="rId308">
        <w:r>
          <w:rPr>
            <w:rStyle w:val="Hyperlink"/>
            <w:rFonts w:ascii="Times New Roman" w:hAnsi="Times New Roman"/>
            <w:b w:val="false"/>
            <w:i w:val="false"/>
            <w:color w:val="000000"/>
            <w:sz w:val="22"/>
          </w:rPr>
          <w:t>113.8(1)</w:t>
        </w:r>
      </w:hyperlink>
      <w:r>
        <w:rPr>
          <w:rFonts w:ascii="Times New Roman" w:hAnsi="Times New Roman"/>
          <w:b w:val="false"/>
          <w:i/>
          <w:color w:val="000000"/>
          <w:sz w:val="22"/>
        </w:rPr>
        <w:t>“b”</w:t>
      </w:r>
      <w:r>
        <w:rPr>
          <w:rFonts w:ascii="Times New Roman" w:hAnsi="Times New Roman"/>
          <w:b w:val="false"/>
          <w:i w:val="false"/>
          <w:color w:val="000000"/>
          <w:sz w:val="22"/>
        </w:rPr>
        <w:t>(3)“2”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Gas monitoring results from monitoring and any remediation plans required by rule </w:t>
      </w:r>
      <w:hyperlink r:id="rId309">
        <w:r>
          <w:rPr>
            <w:rStyle w:val="Hyperlink"/>
            <w:rFonts w:ascii="Times New Roman" w:hAnsi="Times New Roman"/>
            <w:b w:val="false"/>
            <w:i w:val="false"/>
            <w:color w:val="000000"/>
            <w:sz w:val="22"/>
          </w:rPr>
          <w:t>567—113.9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demonstration, certification, finding, monitoring, testing, or analytical data required by rule </w:t>
      </w:r>
      <w:hyperlink r:id="rId310">
        <w:r>
          <w:rPr>
            <w:rStyle w:val="Hyperlink"/>
            <w:rFonts w:ascii="Times New Roman" w:hAnsi="Times New Roman"/>
            <w:b w:val="false"/>
            <w:i w:val="false"/>
            <w:color w:val="000000"/>
            <w:sz w:val="22"/>
          </w:rPr>
          <w:t>567—113.10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and postclosure care plans and any monitoring, testing, or analytical data as required by rules </w:t>
      </w:r>
      <w:hyperlink r:id="rId311">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 xml:space="preserve">(455B) and </w:t>
      </w:r>
      <w:hyperlink r:id="rId312">
        <w:r>
          <w:rPr>
            <w:rStyle w:val="Hyperlink"/>
            <w:rFonts w:ascii="Times New Roman" w:hAnsi="Times New Roman"/>
            <w:b w:val="false"/>
            <w:i w:val="false"/>
            <w:color w:val="000000"/>
            <w:sz w:val="22"/>
          </w:rPr>
          <w:t>567—113.13</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cost estimates and financial assurance documentation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The owner or operator must notify the department when the documents required in subrule </w:t>
      </w:r>
      <w:hyperlink r:id="rId313">
        <w:r>
          <w:rPr>
            <w:rStyle w:val="Hyperlink"/>
            <w:rFonts w:ascii="Times New Roman" w:hAnsi="Times New Roman"/>
            <w:b w:val="false"/>
            <w:i w:val="false"/>
            <w:color w:val="000000"/>
            <w:sz w:val="22"/>
          </w:rPr>
          <w:t>113.11(1)</w:t>
        </w:r>
      </w:hyperlink>
      <w:r>
        <w:rPr>
          <w:rFonts w:ascii="Times New Roman" w:hAnsi="Times New Roman"/>
          <w:b w:val="false"/>
          <w:i w:val="false"/>
          <w:color w:val="000000"/>
          <w:sz w:val="22"/>
        </w:rPr>
        <w:t xml:space="preserve"> have been placed in the operating record. All information contained in the operating record must be furnished upon request to the department and be made available at all reasonable times for inspection by the department.</w:t>
      </w:r>
    </w:p>
    <w:p>
      <w:pPr>
        <w:spacing w:before="0" w:after="0"/>
        <w:ind w:left="120"/>
        <w:jc w:val="both"/>
      </w:pPr>
      <w:r>
        <w:rPr>
          <w:rFonts w:ascii="Times New Roman" w:hAnsi="Times New Roman"/>
          <w:b/>
          <w:i w:val="false"/>
          <w:color w:val="000000"/>
          <w:sz w:val="22"/>
        </w:rPr>
        <w:t>567—113.12</w:t>
      </w:r>
      <w:r>
        <w:rPr>
          <w:rFonts w:ascii="Times New Roman" w:hAnsi="Times New Roman"/>
          <w:b/>
          <w:i w:val="false"/>
          <w:color w:val="000000"/>
          <w:sz w:val="22"/>
        </w:rPr>
        <w:t xml:space="preserve">(455B) </w:t>
      </w:r>
      <w:r>
        <w:rPr>
          <w:rFonts w:ascii="Times New Roman" w:hAnsi="Times New Roman"/>
          <w:b/>
          <w:i w:val="false"/>
          <w:color w:val="000000"/>
          <w:sz w:val="22"/>
        </w:rPr>
        <w:t xml:space="preserve">Closure criteria. </w:t>
      </w:r>
      <w:r>
        <w:rPr>
          <w:rFonts w:ascii="Times New Roman" w:hAnsi="Times New Roman"/>
          <w:b w:val="false"/>
          <w:i w:val="false"/>
          <w:color w:val="000000"/>
          <w:sz w:val="22"/>
        </w:rPr>
        <w:t>All MSWLFs shall comply with the following 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113.12(1)</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all MSWLF units must install a final cover system that is designed to minimize infiltration and erosion. The final cover system must be designed and constructed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permeability less than or equal to the permeability of any bottom liner system (for MSWLFs with some type of liner) or have a permeability no greater than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Minimize infiltration through the closed MSWLF by the use of an infiltration layer that contains a minimum of 18 inches of compacted earthen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Minimize erosion of the final cover by the use of an erosion layer that contains a minimum of 24 inches of earthen material that is capable of sustaining native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an infiltration layer and erosion layer that are a combined minimum of 42 inches of earthen material at all locations over the closed MSWLF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slope between 5 percent and 25 percent. Steeper slopes may be used if it is demonstrated that a steeper slope is unlikely to adversely affect final cover system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113.12(2)</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an alternative final cover design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infiltration layer that achieves reduction in infiltration equivalent to the infiltration layer specified in paragraphs </w:t>
      </w:r>
      <w:hyperlink r:id="rId314">
        <w:r>
          <w:rPr>
            <w:rStyle w:val="Hyperlink"/>
            <w:rFonts w:ascii="Times New Roman" w:hAnsi="Times New Roman"/>
            <w:b w:val="false"/>
            <w:i w:val="false"/>
            <w:color w:val="000000"/>
            <w:sz w:val="22"/>
          </w:rPr>
          <w:t>113.12(1)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315">
        <w:r>
          <w:rPr>
            <w:rStyle w:val="Hyperlink"/>
            <w:rFonts w:ascii="Times New Roman" w:hAnsi="Times New Roman"/>
            <w:b w:val="false"/>
            <w:i w:val="false"/>
            <w:color w:val="000000"/>
            <w:sz w:val="22"/>
          </w:rPr>
          <w:t>113.12(1)</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erosion layer that provides protection from wind and water erosion equivalent to the erosion layer specified in paragraphs </w:t>
      </w:r>
      <w:hyperlink r:id="rId316">
        <w:r>
          <w:rPr>
            <w:rStyle w:val="Hyperlink"/>
            <w:rFonts w:ascii="Times New Roman" w:hAnsi="Times New Roman"/>
            <w:b w:val="false"/>
            <w:i w:val="false"/>
            <w:color w:val="000000"/>
            <w:sz w:val="22"/>
          </w:rPr>
          <w:t>113.12(1)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17">
        <w:r>
          <w:rPr>
            <w:rStyle w:val="Hyperlink"/>
            <w:rFonts w:ascii="Times New Roman" w:hAnsi="Times New Roman"/>
            <w:b w:val="false"/>
            <w:i w:val="false"/>
            <w:color w:val="000000"/>
            <w:sz w:val="22"/>
          </w:rPr>
          <w:t>113.12(1)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prepare a written closure plan that describes the steps necessary to close all MSWLF units at any point during the active life in accordance with the cover design requirements in subrule </w:t>
      </w:r>
      <w:hyperlink r:id="rId318">
        <w:r>
          <w:rPr>
            <w:rStyle w:val="Hyperlink"/>
            <w:rFonts w:ascii="Times New Roman" w:hAnsi="Times New Roman"/>
            <w:b w:val="false"/>
            <w:i w:val="false"/>
            <w:color w:val="000000"/>
            <w:sz w:val="22"/>
          </w:rPr>
          <w:t>113.12(1)</w:t>
        </w:r>
      </w:hyperlink>
      <w:r>
        <w:rPr>
          <w:rFonts w:ascii="Times New Roman" w:hAnsi="Times New Roman"/>
          <w:b w:val="false"/>
          <w:i w:val="false"/>
          <w:color w:val="000000"/>
          <w:sz w:val="22"/>
        </w:rPr>
        <w:t xml:space="preserve"> or </w:t>
      </w:r>
      <w:hyperlink r:id="rId319">
        <w:r>
          <w:rPr>
            <w:rStyle w:val="Hyperlink"/>
            <w:rFonts w:ascii="Times New Roman" w:hAnsi="Times New Roman"/>
            <w:b w:val="false"/>
            <w:i w:val="false"/>
            <w:color w:val="000000"/>
            <w:sz w:val="22"/>
          </w:rPr>
          <w:t>113.12(2)</w:t>
        </w:r>
      </w:hyperlink>
      <w:r>
        <w:rPr>
          <w:rFonts w:ascii="Times New Roman" w:hAnsi="Times New Roman"/>
          <w:b w:val="false"/>
          <w:i w:val="false"/>
          <w:color w:val="000000"/>
          <w:sz w:val="22"/>
        </w:rPr>
        <w:t>, as applicable. The closure plan, at a minimum,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final cover including source, volume, and characteristics of cover material, designed in accordance with subrule </w:t>
      </w:r>
      <w:hyperlink r:id="rId320">
        <w:r>
          <w:rPr>
            <w:rStyle w:val="Hyperlink"/>
            <w:rFonts w:ascii="Times New Roman" w:hAnsi="Times New Roman"/>
            <w:b w:val="false"/>
            <w:i w:val="false"/>
            <w:color w:val="000000"/>
            <w:sz w:val="22"/>
          </w:rPr>
          <w:t>113.12(1)</w:t>
        </w:r>
      </w:hyperlink>
      <w:r>
        <w:rPr>
          <w:rFonts w:ascii="Times New Roman" w:hAnsi="Times New Roman"/>
          <w:b w:val="false"/>
          <w:i w:val="false"/>
          <w:color w:val="000000"/>
          <w:sz w:val="22"/>
        </w:rPr>
        <w:t xml:space="preserve"> or </w:t>
      </w:r>
      <w:hyperlink r:id="rId321">
        <w:r>
          <w:rPr>
            <w:rStyle w:val="Hyperlink"/>
            <w:rFonts w:ascii="Times New Roman" w:hAnsi="Times New Roman"/>
            <w:b w:val="false"/>
            <w:i w:val="false"/>
            <w:color w:val="000000"/>
            <w:sz w:val="22"/>
          </w:rPr>
          <w:t>113.12(2)</w:t>
        </w:r>
      </w:hyperlink>
      <w:r>
        <w:rPr>
          <w:rFonts w:ascii="Times New Roman" w:hAnsi="Times New Roman"/>
          <w:b w:val="false"/>
          <w:i w:val="false"/>
          <w:color w:val="000000"/>
          <w:sz w:val="22"/>
        </w:rPr>
        <w:t xml:space="preserve"> and the methods and procedures to be used to install the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estimate of the largest area of the MSWLF unit requiring a final cover, as required under subrule </w:t>
      </w:r>
      <w:hyperlink r:id="rId322">
        <w:r>
          <w:rPr>
            <w:rStyle w:val="Hyperlink"/>
            <w:rFonts w:ascii="Times New Roman" w:hAnsi="Times New Roman"/>
            <w:b w:val="false"/>
            <w:i w:val="false"/>
            <w:color w:val="000000"/>
            <w:sz w:val="22"/>
          </w:rPr>
          <w:t>113.12(1)</w:t>
        </w:r>
      </w:hyperlink>
      <w:r>
        <w:rPr>
          <w:rFonts w:ascii="Times New Roman" w:hAnsi="Times New Roman"/>
          <w:b w:val="false"/>
          <w:i w:val="false"/>
          <w:color w:val="000000"/>
          <w:sz w:val="22"/>
        </w:rPr>
        <w:t xml:space="preserve"> or </w:t>
      </w:r>
      <w:hyperlink r:id="rId323">
        <w:r>
          <w:rPr>
            <w:rStyle w:val="Hyperlink"/>
            <w:rFonts w:ascii="Times New Roman" w:hAnsi="Times New Roman"/>
            <w:b w:val="false"/>
            <w:i w:val="false"/>
            <w:color w:val="000000"/>
            <w:sz w:val="22"/>
          </w:rPr>
          <w:t>113.12(2)</w:t>
        </w:r>
      </w:hyperlink>
      <w:r>
        <w:rPr>
          <w:rFonts w:ascii="Times New Roman" w:hAnsi="Times New Roman"/>
          <w:b w:val="false"/>
          <w:i w:val="false"/>
          <w:color w:val="000000"/>
          <w:sz w:val="22"/>
        </w:rPr>
        <w:t>, at any time during the active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estimate of the maximum inventory of wastes on site over the active life of the landfill facility;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for completing all activities necessary to satisfy the closure criteria in rule </w:t>
      </w:r>
      <w:hyperlink r:id="rId324">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the closure plan has been placed in the operating record no later than the initial receipt of waste in a new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113.12(5)</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180 days prior to beginning closure of each MSWLF unit as specified in subrule </w:t>
      </w:r>
      <w:hyperlink r:id="rId325">
        <w:r>
          <w:rPr>
            <w:rStyle w:val="Hyperlink"/>
            <w:rFonts w:ascii="Times New Roman" w:hAnsi="Times New Roman"/>
            <w:b w:val="false"/>
            <w:i w:val="false"/>
            <w:color w:val="000000"/>
            <w:sz w:val="22"/>
          </w:rPr>
          <w:t>113.12(6)</w:t>
        </w:r>
      </w:hyperlink>
      <w:r>
        <w:rPr>
          <w:rFonts w:ascii="Times New Roman" w:hAnsi="Times New Roman"/>
          <w:b w:val="false"/>
          <w:i w:val="false"/>
          <w:color w:val="000000"/>
          <w:sz w:val="22"/>
        </w:rPr>
        <w:t>, an owner or operator must notify the department of the intent to close the MSWLF unit, and that a notice of the intent to close the unit has been placed in the operating record. If the MSWLF facility will no longer be accepting MSW for disposal, then the owner or operator must also notify all local governments utilizing the facility and post a public notice of the intent to close and no longer to accept MSW.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113.12(6)</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begin closure activities of each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30 days after the date on which the MSWLF unit receives the known final receipt of wastes;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MSWLF unit has remaining capacity and there is a reasonable likelihood that the MSWLF unit will receive additional wastes, no later than one year after the most recent receipt of wastes. Extensions beyond the one-year deadline for beginning closure may be granted by the department if the owner or operator demonstrates that the MSWLF unit has the capacity to receive additional wastes and the owner or operator has taken and will continue to take all steps necessary to prevent threats to human health and the environment from the unclosed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all MSWLF units must complete closure activities of each MSWLF unit in accordance with the closure plan within 180 days following the beginning of closure as specified in subrule </w:t>
      </w:r>
      <w:hyperlink r:id="rId326">
        <w:r>
          <w:rPr>
            <w:rStyle w:val="Hyperlink"/>
            <w:rFonts w:ascii="Times New Roman" w:hAnsi="Times New Roman"/>
            <w:b w:val="false"/>
            <w:i w:val="false"/>
            <w:color w:val="000000"/>
            <w:sz w:val="22"/>
          </w:rPr>
          <w:t>113.12(6)</w:t>
        </w:r>
      </w:hyperlink>
      <w:r>
        <w:rPr>
          <w:rFonts w:ascii="Times New Roman" w:hAnsi="Times New Roman"/>
          <w:b w:val="false"/>
          <w:i w:val="false"/>
          <w:color w:val="000000"/>
          <w:sz w:val="22"/>
        </w:rPr>
        <w:t>. Extensions of the closure period may be granted by the department if the owner or operator demonstrates that closure will, of necessity, take longer than 180 days and that the owner or operator has taken and will continue to take all steps to prevent threats to human health and the environment from the unclosed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113.12(8)</w:t>
      </w:r>
      <w:r>
        <w:rPr>
          <w:rFonts w:ascii="Times New Roman" w:hAnsi="Times New Roman"/>
          <w:b w:val="false"/>
          <w:i w:val="false"/>
          <w:color w:val="000000"/>
          <w:sz w:val="22"/>
        </w:rPr>
        <w:t> </w:t>
      </w:r>
      <w:r>
        <w:rPr>
          <w:rFonts w:ascii="Times New Roman" w:hAnsi="Times New Roman"/>
          <w:b w:val="false"/>
          <w:i w:val="false"/>
          <w:color w:val="000000"/>
          <w:sz w:val="22"/>
        </w:rPr>
        <w:t>Following closure of each MSWLF unit, the owner or operator must submit to the department certification, signed by an independent professional engineer (P.E.) registered in Iowa, verifying that closure has been completed in accordance with the closure plan. Upon approval by the department, the certification shall be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113.12(9)</w:t>
      </w:r>
      <w:r>
        <w:rPr>
          <w:rFonts w:ascii="Times New Roman" w:hAnsi="Times New Roman"/>
          <w:b w:val="false"/>
          <w:i w:val="false"/>
          <w:color w:val="000000"/>
          <w:sz w:val="22"/>
        </w:rPr>
        <w:t> </w:t>
      </w:r>
      <w:r>
        <w:rPr>
          <w:rFonts w:ascii="Times New Roman" w:hAnsi="Times New Roman"/>
          <w:b w:val="false"/>
          <w:i w:val="false"/>
          <w:color w:val="000000"/>
          <w:sz w:val="22"/>
        </w:rPr>
        <w:t>Following closure of all MSWLF units, the owner or operator must record a notation on the deed to the landfill facility property, or some other instrument that is normally examined during title search in lieu of a deed notification, and notify the department that the notation has been recorded and a copy has been placed in the operating record. The notation on the deed must in perpetuity notify any potential purchaser of the property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land has been used as a landfill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Its use is restricted under paragraph </w:t>
      </w:r>
      <w:hyperlink r:id="rId327">
        <w:r>
          <w:rPr>
            <w:rStyle w:val="Hyperlink"/>
            <w:rFonts w:ascii="Times New Roman" w:hAnsi="Times New Roman"/>
            <w:b w:val="false"/>
            <w:i w:val="false"/>
            <w:color w:val="000000"/>
            <w:sz w:val="22"/>
          </w:rPr>
          <w:t>113.13(3)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113.12(10)</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request permission from the department to remove the notation from the deed if all wastes are removed from the facility.</w:t>
      </w:r>
    </w:p>
    <w:p>
      <w:pPr>
        <w:spacing w:before="0" w:after="0"/>
        <w:ind w:left="120"/>
        <w:jc w:val="both"/>
      </w:pPr>
      <w:r>
        <w:rPr>
          <w:rFonts w:ascii="Times New Roman" w:hAnsi="Times New Roman"/>
          <w:b/>
          <w:i w:val="false"/>
          <w:color w:val="000000"/>
          <w:sz w:val="22"/>
        </w:rPr>
        <w:t>567—113.13</w:t>
      </w:r>
      <w:r>
        <w:rPr>
          <w:rFonts w:ascii="Times New Roman" w:hAnsi="Times New Roman"/>
          <w:b/>
          <w:i w:val="false"/>
          <w:color w:val="000000"/>
          <w:sz w:val="22"/>
        </w:rPr>
        <w:t xml:space="preserve">(455B) </w:t>
      </w:r>
      <w:r>
        <w:rPr>
          <w:rFonts w:ascii="Times New Roman" w:hAnsi="Times New Roman"/>
          <w:b/>
          <w:i w:val="false"/>
          <w:color w:val="000000"/>
          <w:sz w:val="22"/>
        </w:rPr>
        <w:t xml:space="preserve">Postclosure care requirements. </w:t>
      </w:r>
      <w:r>
        <w:rPr>
          <w:rFonts w:ascii="Times New Roman" w:hAnsi="Times New Roman"/>
          <w:b w:val="false"/>
          <w:i w:val="false"/>
          <w:color w:val="000000"/>
          <w:sz w:val="22"/>
        </w:rPr>
        <w:t>All MSWLFs shall comply with the following postclosure care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113.13(1)</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closure of each MSWLF unit, the owner or operator must conduct postclosure care. Postclosure care must be conducted for 30 years, except as provided under subrule </w:t>
      </w:r>
      <w:hyperlink r:id="rId328">
        <w:r>
          <w:rPr>
            <w:rStyle w:val="Hyperlink"/>
            <w:rFonts w:ascii="Times New Roman" w:hAnsi="Times New Roman"/>
            <w:b w:val="false"/>
            <w:i w:val="false"/>
            <w:color w:val="000000"/>
            <w:sz w:val="22"/>
          </w:rPr>
          <w:t>113.13(2)</w:t>
        </w:r>
      </w:hyperlink>
      <w:r>
        <w:rPr>
          <w:rFonts w:ascii="Times New Roman" w:hAnsi="Times New Roman"/>
          <w:b w:val="false"/>
          <w:i w:val="false"/>
          <w:color w:val="000000"/>
          <w:sz w:val="22"/>
        </w:rPr>
        <w:t>, and consist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the integrity and effectiveness of any final cover, including making repairs to the cover as necessary to correct the effects of settlement, subsidence, erosion, or other events, and preventing run-on and runoff from eroding or otherwise damaging the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and operating the leachate collection system in accordance with the requirements in paragraphs </w:t>
      </w:r>
      <w:hyperlink r:id="rId329">
        <w:r>
          <w:rPr>
            <w:rStyle w:val="Hyperlink"/>
            <w:rFonts w:ascii="Times New Roman" w:hAnsi="Times New Roman"/>
            <w:b w:val="false"/>
            <w:i w:val="false"/>
            <w:color w:val="000000"/>
            <w:sz w:val="22"/>
          </w:rPr>
          <w:t>113.7(5)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30">
        <w:r>
          <w:rPr>
            <w:rStyle w:val="Hyperlink"/>
            <w:rFonts w:ascii="Times New Roman" w:hAnsi="Times New Roman"/>
            <w:b w:val="false"/>
            <w:i w:val="false"/>
            <w:color w:val="000000"/>
            <w:sz w:val="22"/>
          </w:rPr>
          <w:t>113.8(3)</w:t>
        </w:r>
      </w:hyperlink>
      <w:r>
        <w:rPr>
          <w:rFonts w:ascii="Times New Roman" w:hAnsi="Times New Roman"/>
          <w:b w:val="false"/>
          <w:i/>
          <w:color w:val="000000"/>
          <w:sz w:val="22"/>
        </w:rPr>
        <w:t>“i,”</w:t>
      </w:r>
      <w:r>
        <w:rPr>
          <w:rFonts w:ascii="Times New Roman" w:hAnsi="Times New Roman"/>
          <w:b w:val="false"/>
          <w:i w:val="false"/>
          <w:color w:val="000000"/>
          <w:sz w:val="22"/>
        </w:rPr>
        <w:t xml:space="preserve"> if applicable. The department may allow the owner or operator to stop managing leachate if the owner or operator demonstrates that leachate no longer poses a threat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the groundwater in accordance with the requirements of rule </w:t>
      </w:r>
      <w:hyperlink r:id="rId331">
        <w:r>
          <w:rPr>
            <w:rStyle w:val="Hyperlink"/>
            <w:rFonts w:ascii="Times New Roman" w:hAnsi="Times New Roman"/>
            <w:b w:val="false"/>
            <w:i w:val="false"/>
            <w:color w:val="000000"/>
            <w:sz w:val="22"/>
          </w:rPr>
          <w:t>567—113.10(455B)</w:t>
        </w:r>
      </w:hyperlink>
      <w:r>
        <w:rPr>
          <w:rFonts w:ascii="Times New Roman" w:hAnsi="Times New Roman"/>
          <w:b w:val="false"/>
          <w:i w:val="false"/>
          <w:color w:val="000000"/>
          <w:sz w:val="22"/>
        </w:rPr>
        <w:t xml:space="preserve"> and maintaining the groundwater monitoring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and operating the gas monitoring system in accordance with the requirements of rule </w:t>
      </w:r>
      <w:hyperlink r:id="rId332">
        <w:r>
          <w:rPr>
            <w:rStyle w:val="Hyperlink"/>
            <w:rFonts w:ascii="Times New Roman" w:hAnsi="Times New Roman"/>
            <w:b w:val="false"/>
            <w:i w:val="false"/>
            <w:color w:val="000000"/>
            <w:sz w:val="22"/>
          </w:rPr>
          <w:t>567—113.9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113.13(2)</w:t>
      </w:r>
      <w:r>
        <w:rPr>
          <w:rFonts w:ascii="Times New Roman" w:hAnsi="Times New Roman"/>
          <w:b w:val="false"/>
          <w:i w:val="false"/>
          <w:color w:val="000000"/>
          <w:sz w:val="22"/>
        </w:rPr>
        <w:t> </w:t>
      </w:r>
      <w:r>
        <w:rPr>
          <w:rFonts w:ascii="Times New Roman" w:hAnsi="Times New Roman"/>
          <w:b w:val="false"/>
          <w:i w:val="false"/>
          <w:color w:val="000000"/>
          <w:sz w:val="22"/>
        </w:rPr>
        <w:t>The length of the postclosure care period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Decreased by the department if the owner or operator demonstrates that the reduced period is sufficient to protect human health and the environment and this demonstration is approved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Increased by the department if the department determines that the lengthened period is necessary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all MSWLF units must prepare a written postclosure plan that includes,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monitoring and maintenance activities required in subrule </w:t>
      </w:r>
      <w:hyperlink r:id="rId333">
        <w:r>
          <w:rPr>
            <w:rStyle w:val="Hyperlink"/>
            <w:rFonts w:ascii="Times New Roman" w:hAnsi="Times New Roman"/>
            <w:b w:val="false"/>
            <w:i w:val="false"/>
            <w:color w:val="000000"/>
            <w:sz w:val="22"/>
          </w:rPr>
          <w:t>113.13(1)</w:t>
        </w:r>
      </w:hyperlink>
      <w:r>
        <w:rPr>
          <w:rFonts w:ascii="Times New Roman" w:hAnsi="Times New Roman"/>
          <w:b w:val="false"/>
          <w:i w:val="false"/>
          <w:color w:val="000000"/>
          <w:sz w:val="22"/>
        </w:rPr>
        <w:t xml:space="preserve"> for each MSWLF unit, and the frequency at which these activities will be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or office to contact about the facility during the postclosure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planned uses of the property during the postclosure period. Postclosure use of the property shall not disturb the integrity of the final cover, liner(s), or any other components of the containment system, or the function of the monitoring systems unless necessary to comply with the requirements in this chapter. The department may approve any other disturbance if the owner or operator demonstrates that disturbance of the final cover, liner or other component of the containment system, including any removal of waste, will not increase the potential threat to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a postclosure plan has been prepared and placed in the operating record by the date of initial receipt of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113.13(5)</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the postclosure care period for each MSWLF unit, the owner or operator must submit to the department a certification, signed by an independent professional engineer (P.E.) registered in Iowa, verifying that postclosure care has been completed in accordance with the postclosure plan. Upon department approval, the certification shall be placed in the operating record.</w:t>
      </w:r>
    </w:p>
    <w:p>
      <w:pPr>
        <w:spacing w:before="0" w:after="0"/>
        <w:ind w:left="120"/>
        <w:jc w:val="both"/>
      </w:pPr>
      <w:r>
        <w:rPr>
          <w:rFonts w:ascii="Times New Roman" w:hAnsi="Times New Roman"/>
          <w:b/>
          <w:i w:val="false"/>
          <w:color w:val="000000"/>
          <w:sz w:val="22"/>
        </w:rPr>
        <w:t>567—113.14</w:t>
      </w:r>
      <w:r>
        <w:rPr>
          <w:rFonts w:ascii="Times New Roman" w:hAnsi="Times New Roman"/>
          <w:b/>
          <w:i w:val="false"/>
          <w:color w:val="000000"/>
          <w:sz w:val="22"/>
        </w:rPr>
        <w:t xml:space="preserve">(455B) </w:t>
      </w:r>
      <w:r>
        <w:rPr>
          <w:rFonts w:ascii="Times New Roman" w:hAnsi="Times New Roman"/>
          <w:b/>
          <w:i w:val="false"/>
          <w:color w:val="000000"/>
          <w:sz w:val="22"/>
        </w:rPr>
        <w:t xml:space="preserve">Municipal solid waste landfill financial assurance.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sections </w:t>
      </w:r>
      <w:hyperlink r:id="rId334">
        <w:r>
          <w:rPr>
            <w:rStyle w:val="Hyperlink"/>
            <w:rFonts w:ascii="Times New Roman" w:hAnsi="Times New Roman"/>
            <w:b w:val="false"/>
            <w:i w:val="false"/>
            <w:color w:val="000000"/>
            <w:sz w:val="22"/>
          </w:rPr>
          <w:t>455B.304(8)</w:t>
        </w:r>
      </w:hyperlink>
      <w:r>
        <w:rPr>
          <w:rFonts w:ascii="Times New Roman" w:hAnsi="Times New Roman"/>
          <w:b w:val="false"/>
          <w:i w:val="false"/>
          <w:color w:val="000000"/>
          <w:sz w:val="22"/>
        </w:rPr>
        <w:t xml:space="preserve"> and </w:t>
      </w:r>
      <w:hyperlink r:id="rId335">
        <w:r>
          <w:rPr>
            <w:rStyle w:val="Hyperlink"/>
            <w:rFonts w:ascii="Times New Roman" w:hAnsi="Times New Roman"/>
            <w:b w:val="false"/>
            <w:i w:val="false"/>
            <w:color w:val="000000"/>
            <w:sz w:val="22"/>
          </w:rPr>
          <w:t>455B.306(8)</w:t>
        </w:r>
      </w:hyperlink>
      <w:r>
        <w:rPr>
          <w:rFonts w:ascii="Times New Roman" w:hAnsi="Times New Roman"/>
          <w:b w:val="false"/>
          <w:i w:val="false"/>
          <w:color w:val="000000"/>
          <w:sz w:val="22"/>
        </w:rPr>
        <w:t xml:space="preserve"> by providing the criteria for establishing financial assurance for closure, postclosure care and corrective action at MSWLFs.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requirements of this rule apply to all owners and operators of MSWLFs except owners or operators that are state or federal government entities whose debts and liabilities are the debts and liabilities of a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113.14(3)</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closure. </w:t>
      </w:r>
      <w:r>
        <w:rPr>
          <w:rFonts w:ascii="Times New Roman" w:hAnsi="Times New Roman"/>
          <w:b w:val="false"/>
          <w:i w:val="false"/>
          <w:color w:val="000000"/>
          <w:sz w:val="22"/>
        </w:rPr>
        <w:t xml:space="preserve">The owner or operator of an MSWLF must establish financial assurance for closure in accordance with the criteria in this rule. The owner or operator must provide continuous coverage for closure until released from this requirement by demonstrating compliance with rule </w:t>
      </w:r>
      <w:hyperlink r:id="rId336">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 xml:space="preserve">(455B). Proof of compliance pursuant to paragraphs </w:t>
      </w:r>
      <w:hyperlink r:id="rId337">
        <w:r>
          <w:rPr>
            <w:rStyle w:val="Hyperlink"/>
            <w:rFonts w:ascii="Times New Roman" w:hAnsi="Times New Roman"/>
            <w:b w:val="false"/>
            <w:i w:val="false"/>
            <w:color w:val="000000"/>
            <w:sz w:val="22"/>
          </w:rPr>
          <w:t>113.14(3)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338">
        <w:r>
          <w:rPr>
            <w:rStyle w:val="Hyperlink"/>
            <w:rFonts w:ascii="Times New Roman" w:hAnsi="Times New Roman"/>
            <w:b w:val="false"/>
            <w:i w:val="false"/>
            <w:color w:val="000000"/>
            <w:sz w:val="22"/>
          </w:rPr>
          <w:t>113.14(3)</w:t>
        </w:r>
      </w:hyperlink>
      <w:r>
        <w:rPr>
          <w:rFonts w:ascii="Times New Roman" w:hAnsi="Times New Roman"/>
          <w:b w:val="false"/>
          <w:i/>
          <w:color w:val="000000"/>
          <w:sz w:val="22"/>
        </w:rPr>
        <w:t>“e”</w:t>
      </w:r>
      <w:r>
        <w:rPr>
          <w:rFonts w:ascii="Times New Roman" w:hAnsi="Times New Roman"/>
          <w:b w:val="false"/>
          <w:i w:val="false"/>
          <w:color w:val="000000"/>
          <w:sz w:val="22"/>
        </w:rPr>
        <w:t xml:space="preserve"> must be submitted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the current version of department Form 542-8090, Municipal Solid Waste Sanitary Landfill Financial Assurance Report Form, which contains, but is not limited to, the amount of the financial assurance, the annual financial statement required by Iowa Code sections </w:t>
      </w:r>
      <w:hyperlink r:id="rId339">
        <w:r>
          <w:rPr>
            <w:rStyle w:val="Hyperlink"/>
            <w:rFonts w:ascii="Times New Roman" w:hAnsi="Times New Roman"/>
            <w:b w:val="false"/>
            <w:i w:val="false"/>
            <w:color w:val="000000"/>
            <w:sz w:val="22"/>
          </w:rPr>
          <w:t>455B.306(8)</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340">
        <w:r>
          <w:rPr>
            <w:rStyle w:val="Hyperlink"/>
            <w:rFonts w:ascii="Times New Roman" w:hAnsi="Times New Roman"/>
            <w:b w:val="false"/>
            <w:i w:val="false"/>
            <w:color w:val="000000"/>
            <w:sz w:val="22"/>
          </w:rPr>
          <w:t>455B.306(6)</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the current balances of the closure and postclosure accounts at the time of submittal as required by Iowa Code section </w:t>
      </w:r>
      <w:hyperlink r:id="rId341">
        <w:r>
          <w:rPr>
            <w:rStyle w:val="Hyperlink"/>
            <w:rFonts w:ascii="Times New Roman" w:hAnsi="Times New Roman"/>
            <w:b w:val="false"/>
            <w:i w:val="false"/>
            <w:color w:val="000000"/>
            <w:sz w:val="22"/>
          </w:rPr>
          <w:t>455B.306(8)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financial assurance instruments or the documents establishing the financial assurance instruments in an amount equal to or greater than the amount specified in subrule </w:t>
      </w:r>
      <w:hyperlink r:id="rId342">
        <w:r>
          <w:rPr>
            <w:rStyle w:val="Hyperlink"/>
            <w:rFonts w:ascii="Times New Roman" w:hAnsi="Times New Roman"/>
            <w:b w:val="false"/>
            <w:i w:val="false"/>
            <w:color w:val="000000"/>
            <w:sz w:val="22"/>
          </w:rPr>
          <w:t>113.14(9)</w:t>
        </w:r>
      </w:hyperlink>
      <w:r>
        <w:rPr>
          <w:rFonts w:ascii="Times New Roman" w:hAnsi="Times New Roman"/>
          <w:b w:val="false"/>
          <w:i w:val="false"/>
          <w:color w:val="000000"/>
          <w:sz w:val="22"/>
        </w:rPr>
        <w:t xml:space="preserve">. Documentation for the mechanism(s) used to demonstrate financial assurance shall contain, at a minimum, the items required to be submitted as specified in paragraphs </w:t>
      </w:r>
      <w:hyperlink r:id="rId343">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hyperlink r:id="rId34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submit a detailed written estimate, in current dollars, certified by an Iowa-licensed professional engineer, of the cost of hiring a third party to close the MSWLF in accordance with the closure plan as required by paragraph 103.5(1)</w:t>
      </w:r>
      <w:r>
        <w:rPr>
          <w:rFonts w:ascii="Times New Roman" w:hAnsi="Times New Roman"/>
          <w:b w:val="false"/>
          <w:i/>
          <w:color w:val="000000"/>
          <w:sz w:val="22"/>
        </w:rPr>
        <w:t>“i”</w:t>
      </w:r>
      <w:r>
        <w:rPr>
          <w:rFonts w:ascii="Times New Roman" w:hAnsi="Times New Roman"/>
          <w:b w:val="false"/>
          <w:i w:val="false"/>
          <w:color w:val="000000"/>
          <w:sz w:val="22"/>
        </w:rPr>
        <w:t xml:space="preserve"> and rule </w:t>
      </w:r>
      <w:hyperlink r:id="rId345">
        <w:r>
          <w:rPr>
            <w:rStyle w:val="Hyperlink"/>
            <w:rFonts w:ascii="Times New Roman" w:hAnsi="Times New Roman"/>
            <w:b w:val="false"/>
            <w:i w:val="false"/>
            <w:color w:val="000000"/>
            <w:sz w:val="22"/>
          </w:rPr>
          <w:t>567—113.12</w:t>
        </w:r>
      </w:hyperlink>
      <w:r>
        <w:rPr>
          <w:rFonts w:ascii="Times New Roman" w:hAnsi="Times New Roman"/>
          <w:b w:val="false"/>
          <w:i w:val="false"/>
          <w:color w:val="000000"/>
          <w:sz w:val="22"/>
        </w:rPr>
        <w:t>(455B). Such estimate must be available at any time during the active life of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equal the cost of closing the MSWLF at any time during the permitted life of the facility when the extent and manner of its operation would make closure the most expensive.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third-party estimate for closure must be accurate and reasonable when compared to the cost estimates used by other similarly situated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active life of the MSWLF, the owner or operator must annually adjust the closure cost estimate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amendment that increases closure costs, whichever occurs first, increase the closure cost estimate and the amount of financial assurance provided if changes to the closure plan or MSWLF conditions increase the maximum cost of closure at any time during the remaining active life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closure if the most recent estimate of the maximum cost of closure at any time during the active life of the facility is less than the amount of financial assurance currently provided. Prior to the reduction, the owner or operator must submit to the department the justification for the reduction of the closure cost estimate and the updated documentation required by paragraphs </w:t>
      </w:r>
      <w:hyperlink r:id="rId346">
        <w:r>
          <w:rPr>
            <w:rStyle w:val="Hyperlink"/>
            <w:rFonts w:ascii="Times New Roman" w:hAnsi="Times New Roman"/>
            <w:b w:val="false"/>
            <w:i w:val="false"/>
            <w:color w:val="000000"/>
            <w:sz w:val="22"/>
          </w:rPr>
          <w:t>113.14(3)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347">
        <w:r>
          <w:rPr>
            <w:rStyle w:val="Hyperlink"/>
            <w:rFonts w:ascii="Times New Roman" w:hAnsi="Times New Roman"/>
            <w:b w:val="false"/>
            <w:i w:val="false"/>
            <w:color w:val="000000"/>
            <w:sz w:val="22"/>
          </w:rPr>
          <w:t>113.14(3)</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receive department approval for the reduction. Approval or denial shall be issued within 30 days of receipt of the reduction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third-party estimate submitted to the department must include the site area subject to closure and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Closure and postclosure plan document revisions;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Site preparation, earthwork and final grading;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Drainage control culverts, piping and structures;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Erosion control structures, sediment ponds and terraces;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Final cap construction;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Cap vegetation soil placement;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Cap seeding, mulching and fertilizing;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Monitoring well, piezometer and gas control modifications;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Leachate system cleanout and extraction well modifications;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Monitoring well installations and abandonments;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Facility modifications to effect closed status;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Closure compliance certifications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publicly owned MSWLFs, the owner or operator shall submit to the department a copy of the owner’s or operator’s most recent annual audit report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Privately held MSWLFs shall submit an affidavit from the owner or operator indicating that a yearly review has been performed by a certified public accountant to determine whether the privately owned landfill is in compliance with this chapter. The affidavit shall state the name of the certified public accountant, the dates and conclusions of the review, and the steps taken to rectify any deficiencies identified by the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postclosure care. </w:t>
      </w:r>
      <w:r>
        <w:rPr>
          <w:rFonts w:ascii="Times New Roman" w:hAnsi="Times New Roman"/>
          <w:b w:val="false"/>
          <w:i w:val="false"/>
          <w:color w:val="000000"/>
          <w:sz w:val="22"/>
        </w:rPr>
        <w:t xml:space="preserve">The owner or operator of an MSWLF must establish financial assurance for the costs of postclosure care in accordance with the criteria in this chapter. The owner or operator must provide continuous coverage for postclosure care until released from this requirement by demonstrating compliance with the postclosure plan and the closure permit. Proof of compliance pursuant to paragraphs </w:t>
      </w:r>
      <w:hyperlink r:id="rId348">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349">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“e”</w:t>
      </w:r>
      <w:r>
        <w:rPr>
          <w:rFonts w:ascii="Times New Roman" w:hAnsi="Times New Roman"/>
          <w:b w:val="false"/>
          <w:i w:val="false"/>
          <w:color w:val="000000"/>
          <w:sz w:val="22"/>
        </w:rPr>
        <w:t xml:space="preserve"> must be submitted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the current version of department Form 542-8090, Municipal Solid Waste Sanitary Landfill Financial Assurance Report Form, which contains, but is not limited to, the amount of the financial assurance, the annual financial statement required by Iowa Code sections </w:t>
      </w:r>
      <w:hyperlink r:id="rId350">
        <w:r>
          <w:rPr>
            <w:rStyle w:val="Hyperlink"/>
            <w:rFonts w:ascii="Times New Roman" w:hAnsi="Times New Roman"/>
            <w:b w:val="false"/>
            <w:i w:val="false"/>
            <w:color w:val="000000"/>
            <w:sz w:val="22"/>
          </w:rPr>
          <w:t>455B.306(8)</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351">
        <w:r>
          <w:rPr>
            <w:rStyle w:val="Hyperlink"/>
            <w:rFonts w:ascii="Times New Roman" w:hAnsi="Times New Roman"/>
            <w:b w:val="false"/>
            <w:i w:val="false"/>
            <w:color w:val="000000"/>
            <w:sz w:val="22"/>
          </w:rPr>
          <w:t>455B.306(6)</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the current balances of the closure and postclosure accounts required by Iowa Code section </w:t>
      </w:r>
      <w:hyperlink r:id="rId352">
        <w:r>
          <w:rPr>
            <w:rStyle w:val="Hyperlink"/>
            <w:rFonts w:ascii="Times New Roman" w:hAnsi="Times New Roman"/>
            <w:b w:val="false"/>
            <w:i w:val="false"/>
            <w:color w:val="000000"/>
            <w:sz w:val="22"/>
          </w:rPr>
          <w:t>455B.306(8)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a financial assurance instrument in an amount equal to or greater than the amount specified in subrule </w:t>
      </w:r>
      <w:hyperlink r:id="rId353">
        <w:r>
          <w:rPr>
            <w:rStyle w:val="Hyperlink"/>
            <w:rFonts w:ascii="Times New Roman" w:hAnsi="Times New Roman"/>
            <w:b w:val="false"/>
            <w:i w:val="false"/>
            <w:color w:val="000000"/>
            <w:sz w:val="22"/>
          </w:rPr>
          <w:t>113.14(9)</w:t>
        </w:r>
      </w:hyperlink>
      <w:r>
        <w:rPr>
          <w:rFonts w:ascii="Times New Roman" w:hAnsi="Times New Roman"/>
          <w:b w:val="false"/>
          <w:i w:val="false"/>
          <w:color w:val="000000"/>
          <w:sz w:val="22"/>
        </w:rPr>
        <w:t xml:space="preserve">. Documentation for the mechanism(s) used to demonstrate financial assurance shall contain, at a minimum, the items required to be submitted as specified in paragraphs </w:t>
      </w:r>
      <w:hyperlink r:id="rId35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hyperlink r:id="rId355">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detailed written estimate, in current dollars, certified by an Iowa-licensed professional engineer, of the cost of hiring a third party to conduct postclosure care for the MSWLF in compliance with the postclosure plan developed pursuant to paragraph </w:t>
      </w:r>
      <w:hyperlink r:id="rId356">
        <w:r>
          <w:rPr>
            <w:rStyle w:val="Hyperlink"/>
            <w:rFonts w:ascii="Times New Roman" w:hAnsi="Times New Roman"/>
            <w:b w:val="false"/>
            <w:i w:val="false"/>
            <w:color w:val="000000"/>
            <w:sz w:val="22"/>
          </w:rPr>
          <w:t>113.5(1)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rule </w:t>
      </w:r>
      <w:hyperlink r:id="rId357">
        <w:r>
          <w:rPr>
            <w:rStyle w:val="Hyperlink"/>
            <w:rFonts w:ascii="Times New Roman" w:hAnsi="Times New Roman"/>
            <w:b w:val="false"/>
            <w:i w:val="false"/>
            <w:color w:val="000000"/>
            <w:sz w:val="22"/>
          </w:rPr>
          <w:t>567—113.13</w:t>
        </w:r>
      </w:hyperlink>
      <w:r>
        <w:rPr>
          <w:rFonts w:ascii="Times New Roman" w:hAnsi="Times New Roman"/>
          <w:b w:val="false"/>
          <w:i w:val="false"/>
          <w:color w:val="000000"/>
          <w:sz w:val="22"/>
        </w:rPr>
        <w:t>(455B). The cost estimate must account for the total cost of conducting postclosure care, as described in the plan, for the entire postclosure care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estimate for postclosure care must be based on the most expensive costs of that care during the entire postclosure care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third-party estimate for postclosure care must be accurate and reasonable when compared to the cost estimates used by other similarly situated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active life of the MSWLF and during the postclosure care period, the owner or operator must annually adjust the postclosure cost estimate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amendment that increases postclosure costs, whichever occurs first, increase the estimate and the amount of financial assurance provided if changes in the postclosure plan or MSWLF conditions increase the maximum cost of postclosure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postclosure care if the most recent estimate of the maximum cost of postclosure care beginning at any time during the active life of the facility is less than the amount of financial assurance currently provided. Prior to the reduction, the owner or operator must submit to the department the justification for the reduction of the postclosure cost estimate and the updated documentation required by paragraphs </w:t>
      </w:r>
      <w:hyperlink r:id="rId358">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359">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must receive department approval for the reduction. Approval or denial shall be issued within 30 days of receipt of the reduction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third-party estimate submitted to the department must include the site area subject to postclosure care and account for at least the following factors determined by the department to be minimal necessary costs for postclosure care: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site facilities, access roads and fencing maintenance;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Cap and vegetative cover maintenance;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Drainage and erosion control systems maintenance;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Groundwater to waste separation systems maintenance;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Gas control systems maintenance;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Gas control systems monitoring and reports;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Groundwater and surface water monitoring systems maintenance;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Groundwater and surface water quality monitoring and reports;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Groundwater monitoring systems performance evaluations and reports;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Leachate control systems maintenance;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Leachate management, transportation and disposal;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Leachate control systems performance evaluations and reports;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Financial assurance, accounting, audits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publicly owned MSWLFs, the owner or operator shall submit to the department a copy of the owner’s or operator’s most recent annual audit report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Privately held MSWLFs shall submit an affidavit from the owner or operator indicating that a yearly review has been performed by a certified public accountant to determine whether the privately owned landfill is in compliance with this chapter. The affidavit shall state the name of the certified public accountant, the dates and conclusions of the review, and the steps taken to rectify any deficiencies identified by the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113.14(5)</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required to undertake corrective action pursuant to rules </w:t>
      </w:r>
      <w:hyperlink r:id="rId360">
        <w:r>
          <w:rPr>
            <w:rStyle w:val="Hyperlink"/>
            <w:rFonts w:ascii="Times New Roman" w:hAnsi="Times New Roman"/>
            <w:b w:val="false"/>
            <w:i w:val="false"/>
            <w:color w:val="000000"/>
            <w:sz w:val="22"/>
          </w:rPr>
          <w:t>567—113.9</w:t>
        </w:r>
      </w:hyperlink>
      <w:r>
        <w:rPr>
          <w:rFonts w:ascii="Times New Roman" w:hAnsi="Times New Roman"/>
          <w:b w:val="false"/>
          <w:i w:val="false"/>
          <w:color w:val="000000"/>
          <w:sz w:val="22"/>
        </w:rPr>
        <w:t xml:space="preserve">(455B) and </w:t>
      </w:r>
      <w:hyperlink r:id="rId361">
        <w:r>
          <w:rPr>
            <w:rStyle w:val="Hyperlink"/>
            <w:rFonts w:ascii="Times New Roman" w:hAnsi="Times New Roman"/>
            <w:b w:val="false"/>
            <w:i w:val="false"/>
            <w:color w:val="000000"/>
            <w:sz w:val="22"/>
          </w:rPr>
          <w:t>567—113.10</w:t>
        </w:r>
      </w:hyperlink>
      <w:r>
        <w:rPr>
          <w:rFonts w:ascii="Times New Roman" w:hAnsi="Times New Roman"/>
          <w:b w:val="false"/>
          <w:i w:val="false"/>
          <w:color w:val="000000"/>
          <w:sz w:val="22"/>
        </w:rPr>
        <w:t>(455B) must have a detailed written estimate, in current dollars, prepared by an Iowa licensed professional engineer of the cost of hiring a third party to perform the required corrective action. The estimate must account for the total costs of the activities described in the approved corrective action plan for the entire corrective action period. The owner or operator must submit to the department the estimate and financial assurance documentation within 30 days of department approval of the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adjust the estimate for inflation until the corrective action plan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increase the cost estimate and the amount of financial assurance provided if changes in the corrective action plan or MSWLF conditions increase the maximum cost of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reduce the amount of the cost estimate and the amount of financial assurance provided if the estimate exceeds the maximum remaining costs of the remaining corrective action. The owner or operator must submit to the department the justification for the reduction of the cost estimate and documentation of financial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an MSWLF required to undertake a corrective action plan must establish financial assurance for the most recent corrective action plan by one of the mechanisms prescribed in subrule </w:t>
      </w:r>
      <w:hyperlink r:id="rId362">
        <w:r>
          <w:rPr>
            <w:rStyle w:val="Hyperlink"/>
            <w:rFonts w:ascii="Times New Roman" w:hAnsi="Times New Roman"/>
            <w:b w:val="false"/>
            <w:i w:val="false"/>
            <w:color w:val="000000"/>
            <w:sz w:val="22"/>
          </w:rPr>
          <w:t>113.14(6)</w:t>
        </w:r>
      </w:hyperlink>
      <w:r>
        <w:rPr>
          <w:rFonts w:ascii="Times New Roman" w:hAnsi="Times New Roman"/>
          <w:b w:val="false"/>
          <w:i w:val="false"/>
          <w:color w:val="000000"/>
          <w:sz w:val="22"/>
        </w:rPr>
        <w:t>. The owner or operator must provide continuous coverage for corrective action until released from financial assurance requirements by demonstrating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remedy, the owner or operator must submit to the department a certification of compliance with the approved corrective action plan. The certification must be signed by the owner or operator and by a qualified groundwater scientist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department approval of completion of the corrective action remedy, the owner or operator shall be released from the requirements for financial assurance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113.14(6)</w:t>
      </w:r>
      <w:r>
        <w:rPr>
          <w:rFonts w:ascii="Times New Roman" w:hAnsi="Times New Roman"/>
          <w:b w:val="false"/>
          <w:i w:val="false"/>
          <w:color w:val="000000"/>
          <w:sz w:val="22"/>
        </w:rPr>
        <w:t> </w:t>
      </w:r>
      <w:r>
        <w:rPr>
          <w:rFonts w:ascii="Times New Roman" w:hAnsi="Times New Roman"/>
          <w:b w:val="false"/>
          <w:i/>
          <w:color w:val="000000"/>
          <w:sz w:val="22"/>
        </w:rPr>
        <w:t xml:space="preserve">Allowable financial assurance mechanisms. </w:t>
      </w:r>
      <w:r>
        <w:rPr>
          <w:rFonts w:ascii="Times New Roman" w:hAnsi="Times New Roman"/>
          <w:b w:val="false"/>
          <w:i w:val="false"/>
          <w:color w:val="000000"/>
          <w:sz w:val="22"/>
        </w:rPr>
        <w:t xml:space="preserve">The mechanisms used to demonstrate financial assurance as required by Iowa Code section </w:t>
      </w:r>
      <w:hyperlink r:id="rId363">
        <w:r>
          <w:rPr>
            <w:rStyle w:val="Hyperlink"/>
            <w:rFonts w:ascii="Times New Roman" w:hAnsi="Times New Roman"/>
            <w:b w:val="false"/>
            <w:i w:val="false"/>
            <w:color w:val="000000"/>
            <w:sz w:val="22"/>
          </w:rPr>
          <w:t>455B.306(8)</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ensure that the funds necessary to meet the costs of closure, postclosure care, and corrective action for known releases will be available whenever the funds are needed. Owners or operators must choose from options in paragraphs </w:t>
      </w:r>
      <w:hyperlink r:id="rId36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hyperlink r:id="rId365">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Trust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postclosure, and corrective action, whichever is applicable, by establishing a trust fund which conforms to the requirements of this subrule. The trustee must be an entity which has the authority to act as a trustee and whose trust operations are regulated and examined by a federal or state agency. A copy of the trust agreement must be submitted pursuant to subrules </w:t>
      </w:r>
      <w:hyperlink r:id="rId366">
        <w:r>
          <w:rPr>
            <w:rStyle w:val="Hyperlink"/>
            <w:rFonts w:ascii="Times New Roman" w:hAnsi="Times New Roman"/>
            <w:b w:val="false"/>
            <w:i w:val="false"/>
            <w:color w:val="000000"/>
            <w:sz w:val="22"/>
          </w:rPr>
          <w:t>113.14(3)</w:t>
        </w:r>
      </w:hyperlink>
      <w:r>
        <w:rPr>
          <w:rFonts w:ascii="Times New Roman" w:hAnsi="Times New Roman"/>
          <w:b w:val="false"/>
          <w:i w:val="false"/>
          <w:color w:val="000000"/>
          <w:sz w:val="22"/>
        </w:rPr>
        <w:t xml:space="preserve"> and </w:t>
      </w:r>
      <w:hyperlink r:id="rId367">
        <w:r>
          <w:rPr>
            <w:rStyle w:val="Hyperlink"/>
            <w:rFonts w:ascii="Times New Roman" w:hAnsi="Times New Roman"/>
            <w:b w:val="false"/>
            <w:i w:val="false"/>
            <w:color w:val="000000"/>
            <w:sz w:val="22"/>
          </w:rPr>
          <w:t>113.14(4)</w:t>
        </w:r>
      </w:hyperlink>
      <w:r>
        <w:rPr>
          <w:rFonts w:ascii="Times New Roman" w:hAnsi="Times New Roman"/>
          <w:b w:val="false"/>
          <w:i w:val="false"/>
          <w:color w:val="000000"/>
          <w:sz w:val="22"/>
        </w:rPr>
        <w:t xml:space="preserve">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into the trust fund must be made annually by the owner or operator over ten years or over the remaining life of the MSWLF, whichever is shorter, in the case of a trust fund for closure or postclosure care; or over one-half of the estimated length of the corrective action plan in the case of response to a known release. This period is referred to as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closure and postclosure care, the first payment into the fund must be at least equal to the amount specified in subrule </w:t>
      </w:r>
      <w:hyperlink r:id="rId368">
        <w:r>
          <w:rPr>
            <w:rStyle w:val="Hyperlink"/>
            <w:rFonts w:ascii="Times New Roman" w:hAnsi="Times New Roman"/>
            <w:b w:val="false"/>
            <w:i w:val="false"/>
            <w:color w:val="000000"/>
            <w:sz w:val="22"/>
          </w:rPr>
          <w:t>113.14(9)</w:t>
        </w:r>
      </w:hyperlink>
      <w:r>
        <w:rPr>
          <w:rFonts w:ascii="Times New Roman" w:hAnsi="Times New Roman"/>
          <w:b w:val="false"/>
          <w:i w:val="false"/>
          <w:color w:val="000000"/>
          <w:sz w:val="22"/>
        </w:rPr>
        <w:t xml:space="preserve"> for closure or postclosure care divided by the number of years in the pay-in period as defined in subparagraph </w:t>
      </w:r>
      <w:hyperlink r:id="rId369">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824"/>
        <w:gridCol w:w="384"/>
        <w:gridCol w:w="576"/>
        <w:gridCol w:w="384"/>
        <w:gridCol w:w="576"/>
        <w:gridCol w:w="3723"/>
        <w:gridCol w:w="3723"/>
      </w:tblGrid>
      <w:tr>
        <w:trPr>
          <w:trHeight w:val="225" w:hRule="atLeast"/>
        </w:trPr>
        <w:tc>
          <w:tcPr>
            <w:tcW w:w="182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Next Payment</w:t>
            </w:r>
          </w:p>
        </w:tc>
        <w:tc>
          <w:tcPr>
            <w:tcW w:w="38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 xml:space="preserve">where CE is the amount specified in </w:t>
      </w:r>
      <w:hyperlink r:id="rId370">
        <w:r>
          <w:rPr>
            <w:rStyle w:val="Hyperlink"/>
            <w:rFonts w:ascii="Times New Roman" w:hAnsi="Times New Roman"/>
            <w:b w:val="false"/>
            <w:i w:val="false"/>
            <w:color w:val="000000"/>
            <w:sz w:val="22"/>
          </w:rPr>
          <w:t>113.14(9)</w:t>
        </w:r>
      </w:hyperlink>
      <w:r>
        <w:rPr>
          <w:rFonts w:ascii="Times New Roman" w:hAnsi="Times New Roman"/>
          <w:b w:val="false"/>
          <w:i w:val="false"/>
          <w:color w:val="000000"/>
          <w:sz w:val="22"/>
        </w:rPr>
        <w:t xml:space="preserve"> for closure or postclosure care (updated for inflation or other changes), CB is the current balance of the trust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corrective action, the first payment into the trust fund must be at least equal to one-half of the current cost estimate for corrective action divided by the number of years in the corrective action pay-in period as defined in subparagraph </w:t>
      </w:r>
      <w:hyperlink r:id="rId371">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(2).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824"/>
        <w:gridCol w:w="384"/>
        <w:gridCol w:w="576"/>
        <w:gridCol w:w="384"/>
        <w:gridCol w:w="634"/>
        <w:gridCol w:w="3694"/>
        <w:gridCol w:w="3694"/>
      </w:tblGrid>
      <w:tr>
        <w:trPr>
          <w:trHeight w:val="225" w:hRule="atLeast"/>
        </w:trPr>
        <w:tc>
          <w:tcPr>
            <w:tcW w:w="182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Next Payment</w:t>
            </w:r>
          </w:p>
        </w:tc>
        <w:tc>
          <w:tcPr>
            <w:tcW w:w="38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RB</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3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CV</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RB is the most recent estimate of the required trust fund balance for corrective action, which is the total cost that will be incurred during the second half of the corrective action period, CV is the current value of the trust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trust fund must be made before the initial receipt of waste or before the cancellation of an alternative financial assurance mechanism, in the case of closure and postclosure care; or no later than 120 days after the corrective action remedy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other person authorized to conduct closure, postclosure care, or corrective action activities may request reimbursement from the trustee for these expenditures, including partial closure, as they are incurred. Requests for reimbursement will be granted by the trustee only if sufficient funds are remaining in the trust fund to cover the remaining costs of closure, postclosure care, or corrective action and if justification and documentation of the costs are placed in the operating record. The owner or operator must submit to the department documentation of the justification for reimbursement and verification that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trust fund may be terminated by the owner or operator only if the owner or operator substitutes alternative financial assurance as specified in this rule or if the owner or operator is no longer required to demonstrate financial responsibility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the trust fund shall be adjusted annually to correct any deficiency of the fund with respect to the adjusted cost estimates and may be adjusted annually should the balance in the fund exceed the adjusted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Surety bond guaranteeing payment 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or postclosure care by obtaining a payment or performance surety bond which conforms to the requirements of this subrule. An owner or operator may demonstrate financial assurance for corrective action by obtaining a performance bond which conforms to the requirements of this subrule. The bond must be effective before the initial receipt of waste or before the cancellation of an alternative financial assurance mechanism, in the case of closure and postclosure care; or no later than 120 days after the corrective action remedy has been approved by the department. The owner or operator must submit a copy of the bond to the department and keep a copy in the facility’s official files. The surety company issuing the bond must, at a minimum, be among those listed as acceptable sureties on federal bonds in Circular 570 of the U.S. Department of the Treasury. The state shall not be considered a party to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penal sum of the bond must be in an amount at least equal to the amount specified in subrule </w:t>
      </w:r>
      <w:hyperlink r:id="rId372">
        <w:r>
          <w:rPr>
            <w:rStyle w:val="Hyperlink"/>
            <w:rFonts w:ascii="Times New Roman" w:hAnsi="Times New Roman"/>
            <w:b w:val="false"/>
            <w:i w:val="false"/>
            <w:color w:val="000000"/>
            <w:sz w:val="22"/>
          </w:rPr>
          <w:t>113.14(9)</w:t>
        </w:r>
      </w:hyperlink>
      <w:r>
        <w:rPr>
          <w:rFonts w:ascii="Times New Roman" w:hAnsi="Times New Roman"/>
          <w:b w:val="false"/>
          <w:i w:val="false"/>
          <w:color w:val="000000"/>
          <w:sz w:val="22"/>
        </w:rPr>
        <w:t xml:space="preserve"> for closure and postclosure or corrective action,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the bond, the surety will become liable on the bond obligation when the owner or operator fails to perform as guaranteed by the bond and also upon notice from the department pursuant to subparagraph </w:t>
      </w:r>
      <w:hyperlink r:id="rId373">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“b”</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a standby trust fund. The standby trust fund must meet the requirements of paragraph </w:t>
      </w:r>
      <w:hyperlink r:id="rId37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the requirements for initial payment and subsequent annual payments specified in subparagraphs </w:t>
      </w:r>
      <w:hyperlink r:id="rId375">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(2)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Payments made under the terms of the bond will be deposited by the surety directly into the standby trust fund. Payments from the trust fund must be approved by the trustee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Under the terms of the bond, the surety may cancel the bond by sending notice of cancellation by certified mail to the owner and operator and to the department 120 days in advance of cancellation. When such notice is provided, the owner or operator shall, within 60 days, provide to the department adequate proof of alternative financial assurance, notice from the surety of withdrawal of the cancellation, or proof of a deposit into the standby trust of a sum equal to the amount of the bond. If the owner or operator has not complied with this subparagraph within the 60-day time period, this shall constitute a failure to perform and the department shall notify the surety, prior to the expiration of the 120-day notice period, that such a failure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must be conditioned upon faithful performance by the owner or operator of all closure, postclosure, or corrective action requirements of the Code of Iowa and this chapter. A failure to comply with subparagraph </w:t>
      </w:r>
      <w:hyperlink r:id="rId376">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“b”</w:t>
      </w:r>
      <w:r>
        <w:rPr>
          <w:rFonts w:ascii="Times New Roman" w:hAnsi="Times New Roman"/>
          <w:b w:val="false"/>
          <w:i w:val="false"/>
          <w:color w:val="000000"/>
          <w:sz w:val="22"/>
        </w:rPr>
        <w:t>(6) shall also constitute a failure to perform under the terms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Liability under the bond shall be for the duration of the operation, closure, and postclosure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bond only if alternative financial assurance is substituted prior to cancellation or if the owner or operator is no longer required to demonstrate financial responsibility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care, or corrective action, whichever is applicable, by obtaining an irrevocable standby letter of credit which conforms to the requirements of this subrule. The letter of credit must be effective before the initial receipt of waste or before the cancellation of an alternative financial assurance mechanism, in the case of closure and postclosure care; or no later than 120 days after the corrective action plan is approved by the department. The owner or operator must submit to the department a copy of the letter of credit and place a copy in the facility’s official files. 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 and placed in the facility’s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issued for a period of at least one year in an amount at least equal to the amount specified in subrule </w:t>
      </w:r>
      <w:hyperlink r:id="rId377">
        <w:r>
          <w:rPr>
            <w:rStyle w:val="Hyperlink"/>
            <w:rFonts w:ascii="Times New Roman" w:hAnsi="Times New Roman"/>
            <w:b w:val="false"/>
            <w:i w:val="false"/>
            <w:color w:val="000000"/>
            <w:sz w:val="22"/>
          </w:rPr>
          <w:t>113.14(9)</w:t>
        </w:r>
      </w:hyperlink>
      <w:r>
        <w:rPr>
          <w:rFonts w:ascii="Times New Roman" w:hAnsi="Times New Roman"/>
          <w:b w:val="false"/>
          <w:i w:val="false"/>
          <w:color w:val="000000"/>
          <w:sz w:val="22"/>
        </w:rPr>
        <w:t xml:space="preserve"> for closure, postclosure care or corrective action, whichever is applicable.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the closure and postclosure accounts established pursuant to Iowa Code section </w:t>
      </w:r>
      <w:hyperlink r:id="rId378">
        <w:r>
          <w:rPr>
            <w:rStyle w:val="Hyperlink"/>
            <w:rFonts w:ascii="Times New Roman" w:hAnsi="Times New Roman"/>
            <w:b w:val="false"/>
            <w:i w:val="false"/>
            <w:color w:val="000000"/>
            <w:sz w:val="22"/>
          </w:rPr>
          <w:t>455B.306(8)</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owner or operator has not complied with this subrule within the 60-day time period, the issuer of the letter of credit shall deposit a sum equal to the amount of the letter of credit into the closure and postclosure accounts established by the owner or operator pursuant to Iowa Code section </w:t>
      </w:r>
      <w:hyperlink r:id="rId379">
        <w:r>
          <w:rPr>
            <w:rStyle w:val="Hyperlink"/>
            <w:rFonts w:ascii="Times New Roman" w:hAnsi="Times New Roman"/>
            <w:b w:val="false"/>
            <w:i w:val="false"/>
            <w:color w:val="000000"/>
            <w:sz w:val="22"/>
          </w:rPr>
          <w:t>455B.306(8)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letter of credit only if alternative financial assurance is substituted prior to cancellation or if the owner or operator is no longer required to demonstrate financial responsibility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care, or corrective action by obtaining insurance which conforms to the requirements of this subrule. The insurance must be effective before the initial receipt of waste or prior to cancellation of an alternative financial assurance, in the case of closure and postclosure care; or no later than 120 days after the corrective action plan has been approved by the department. At a minimum, the insurer must be licensed to transact the business of insurance, or be eligible to provide insurance as an excess or surplus lines insurer, in one or more states. The owner or operator must submit to the department a copy of the insurance policy and retain a copy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closure or postclosure care insurance policy must guarantee that funds will be available to close the MSWLF unit whenever final closure occurs or to provide postclosure care for the MSWLF unit whenever the postclosure care period begins, whichever is applicable. The policy must also guarantee that once closure or postclosure care begins, the insurer will be responsible for the paying out of funds to the owner or operator or other person authorized to conduct closure or postclosure care, up to an amount equal to the face amount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be issued for a face amount at least equal to the amount specified in subrule </w:t>
      </w:r>
      <w:hyperlink r:id="rId380">
        <w:r>
          <w:rPr>
            <w:rStyle w:val="Hyperlink"/>
            <w:rFonts w:ascii="Times New Roman" w:hAnsi="Times New Roman"/>
            <w:b w:val="false"/>
            <w:i w:val="false"/>
            <w:color w:val="000000"/>
            <w:sz w:val="22"/>
          </w:rPr>
          <w:t>113.14(9)</w:t>
        </w:r>
      </w:hyperlink>
      <w:r>
        <w:rPr>
          <w:rFonts w:ascii="Times New Roman" w:hAnsi="Times New Roman"/>
          <w:b w:val="false"/>
          <w:i w:val="false"/>
          <w:color w:val="000000"/>
          <w:sz w:val="22"/>
        </w:rPr>
        <w:t xml:space="preserve"> for closure, postclosure care, or corrective action, whichever is applicable. The term “face amount” means the total amount the insurer is obligated to pay under the policy. Actual payments by the insurer will not change the face amount, although the insurer’s future liability will be lowered by the amount of the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owner or operator, or any other person authorized to conduct closure or postclosure care, may receive reimbursements for closure or postclosure expenditures, including partial closure, whichever is applicable. Requests for reimbursement will be granted by the insurer only if the remaining value of the policy is sufficient to cover the remaining costs of closure or postclosure care, and if justification and documentation of the cost are placed in the operating record. The owner or operator must submit to the department documentation of the justification for reimbursement and verification that the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policy must contain a provision allowing assignment of the policy to a successor owner or operator. Such assignment may be conditional upon consent of the insurer, provided that such consent is not unreasonably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provide that the insurer may not cancel, terminate or fail to renew the policy except for failure to pay the premium. The automatic renewal of the policy must, at a minimum, provide the insured with the option of renewal at the face amount of the expiring policy. If there is a failure to pay the premium, the insurer may cancel the policy by sending notice of cancellation by certified mail to the owner and operator and to the department 120 days in advance of cancellation. When such notice is provided, the owner or operator shall, within 60 days, provide to the department adequate proof of alternative financial assurance, notice from the insurer of withdrawal of cancellation, or proof of a deposit of a sum equal to the amount of the insurance coverage into the closure and postclosure accounts established pursuant to Iowa Code section </w:t>
      </w:r>
      <w:hyperlink r:id="rId381">
        <w:r>
          <w:rPr>
            <w:rStyle w:val="Hyperlink"/>
            <w:rFonts w:ascii="Times New Roman" w:hAnsi="Times New Roman"/>
            <w:b w:val="false"/>
            <w:i w:val="false"/>
            <w:color w:val="000000"/>
            <w:sz w:val="22"/>
          </w:rPr>
          <w:t>455B.306(8)</w:t>
        </w:r>
      </w:hyperlink>
      <w:r>
        <w:rPr>
          <w:rFonts w:ascii="Times New Roman" w:hAnsi="Times New Roman"/>
          <w:b w:val="false"/>
          <w:i/>
          <w:color w:val="000000"/>
          <w:sz w:val="22"/>
        </w:rPr>
        <w:t xml:space="preserve">“b.” </w:t>
      </w:r>
      <w:r>
        <w:rPr>
          <w:rFonts w:ascii="Times New Roman" w:hAnsi="Times New Roman"/>
          <w:b w:val="false"/>
          <w:i w:val="false"/>
          <w:color w:val="000000"/>
          <w:sz w:val="22"/>
        </w:rPr>
        <w:t>If the owner or operator has not complied with this subrule within the 60-day time period, this shall constitute a failure to perform and shall be a covered event pursuant to the terms of the insurance policy. A failure by the owner or operator to comply with this subrule within the 60-day period shall make the insurer liable for the closure and postclosure care of the covered facility up to the amount of the policy limits, which shall be equal to the most recently submitted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insurance policies providing coverage for postclosure care, commencing on the date that liability to make payments pursuant to the policy accrues, the insurer will thereafter annually increase the face amount of the policy. Such increase must be equivalent to the face amount of the policy, less any payments made, multiplied by an amount equivalent to 85 percent of the most recent investment rate or of the equivalent coupon-issue yield announced by the U.S. Treasury for 26-week treasury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insurance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financial test. </w:t>
      </w:r>
      <w:r>
        <w:rPr>
          <w:rFonts w:ascii="Times New Roman" w:hAnsi="Times New Roman"/>
          <w:b w:val="false"/>
          <w:i w:val="false"/>
          <w:color w:val="000000"/>
          <w:sz w:val="22"/>
        </w:rPr>
        <w:t>An owner or operator that satisfies the requirements of this subrule may demonstrate financial assurance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component. The owner or operator must satisfy the requirements of numbered paragraphs </w:t>
      </w:r>
      <w:hyperlink r:id="rId382">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(1)“1” to “3” to meet the financial component of the corporate financial test.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The owner or operator must satisfy one of the following three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ratio of less than 1.5 comparing total liabilities to net worth (net worth calculations may not include future permitted capacity of the subject landfill as an asset);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tangible net worth, excluding future permitted capacity of the subject landfill, of the owner or operator must be greater than: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sum of the current closure, postclosure care, and corrective action cost estimates and any other environmental obligations, including guarantees, covered by this financial test plus $10 million except as provided in the second bulleted paragraph of numbered paragraph </w:t>
      </w:r>
      <w:hyperlink r:id="rId383">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(1)“2”;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Net worth of $10 million, excluding future permitted capacity of the subject landfill, plus the amount of any guarantees that have not been recognized as liabilities on the financial statements, provided that all of the current closure, postclosure care, and corrective action costs and any other environmental obligations covered by a financial test are recognized as liabilities on the owner’s or operator’s audited financial statements, and are subject to the approval of the department;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owner or operator must have, located in the United States, assets, excluding future permitted capacity of the subject landfill, amounting to at least the sum of current closure, postclosure care, and corrective action cost estimates and any other environmental obligations covered by a financial test as described in subparagraph </w:t>
      </w:r>
      <w:hyperlink r:id="rId38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owner or operator must submit the following records to the department and place a copy in the facility’s official files prior to the initial receipt of solid waste or cancellation of an alternative financial assurance instrument, in the case of closure and postclosure care;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financial test including, but not limited to, cost estimates required by subrules </w:t>
      </w:r>
      <w:hyperlink r:id="rId385">
        <w:r>
          <w:rPr>
            <w:rStyle w:val="Hyperlink"/>
            <w:rFonts w:ascii="Times New Roman" w:hAnsi="Times New Roman"/>
            <w:b w:val="false"/>
            <w:i w:val="false"/>
            <w:color w:val="000000"/>
            <w:sz w:val="22"/>
          </w:rPr>
          <w:t>113.14(3)</w:t>
        </w:r>
      </w:hyperlink>
      <w:r>
        <w:rPr>
          <w:rFonts w:ascii="Times New Roman" w:hAnsi="Times New Roman"/>
          <w:b w:val="false"/>
          <w:i w:val="false"/>
          <w:color w:val="000000"/>
          <w:sz w:val="22"/>
        </w:rPr>
        <w:t xml:space="preserve"> to </w:t>
      </w:r>
      <w:hyperlink r:id="rId386">
        <w:r>
          <w:rPr>
            <w:rStyle w:val="Hyperlink"/>
            <w:rFonts w:ascii="Times New Roman" w:hAnsi="Times New Roman"/>
            <w:b w:val="false"/>
            <w:i w:val="false"/>
            <w:color w:val="000000"/>
            <w:sz w:val="22"/>
          </w:rPr>
          <w:t>113.14(5)</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owner or operator meets the conditions of subparagraph </w:t>
      </w:r>
      <w:hyperlink r:id="rId387">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copy of the independent certified public accountant’s unqualified opinion of the owner’s or operator’s financial statements for the latest completed fiscal year. To be eligible to use the financial test, the owner’s or operator’s financial statements must receive an unqualified opinion from the independent certified public accountant. An adverse opinion or disclaimer of opinion shall be cause for disallowance of this mechanism. A qualified opinion related to the demonstration of financial assurance may, at the discretion of the department, be cause for disallowance. If the department does not allow use of the corporate financial test,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certified public accountant’s letter providing evidence of financial assurance includes financial data showing that the owner or operator satisfies subparagraph </w:t>
      </w:r>
      <w:hyperlink r:id="rId388">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 xml:space="preserve">(1) that differs from data in the audited financial statements referred to in numbered paragraph </w:t>
      </w:r>
      <w:hyperlink r:id="rId389">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(2)“2,” then a special report from the owner’s or operator’s independent certified public accountant to the owner or operator is required. The special report shall be based upon an agreed-upon procedures engagement in accordance with professional auditing standards and shall describe the procedures performed in comparing the data in the certified public accountant’s letter derived from the independently audited, year-end financial statements for the latest fiscal year with the amounts in such financial statements, the findings of that comparison, and the reasons for any differences.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 certified public accountant’s letter provides a demonstration that the owner or operator has assured for environmental obligations as provided in the second bulleted paragraph of numbered paragraph </w:t>
      </w:r>
      <w:hyperlink r:id="rId390">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(1)“2,” then the letter shall include a report from the independent certified public accountant that verifies that all of the environmental obligations covered by a financial test have been recognized as liabilities on the audited financial statements and that documents how these obligations have been measured and reported, and verifies that the tangible net worth of the owner or operator is at least $10 million plus the amount of any guarantees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cease the submission of the information required by paragraph </w:t>
      </w:r>
      <w:hyperlink r:id="rId391">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based on a reasonable belief that the owner or operator may no longer meet the requirements of subparagraph </w:t>
      </w:r>
      <w:hyperlink r:id="rId392">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 xml:space="preserve">(1), require the owner or operator to provide reports of its financial condition in addition to or including current financial test documentation as specified in subparagraph </w:t>
      </w:r>
      <w:hyperlink r:id="rId393">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 xml:space="preserve">(2). If the department finds that the owner or operator no longer meets the requirements of subparagraph </w:t>
      </w:r>
      <w:hyperlink r:id="rId39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(1),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costs to be assured. When calculating the current cost estimates for closure, postclosure care, corrective action, or the sum of the combination of such costs to be covered, and any other environmental obligations assured by a financial test referred to in paragraph </w:t>
      </w:r>
      <w:hyperlink r:id="rId395">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owner or operator must include cost estimates required for subrules </w:t>
      </w:r>
      <w:hyperlink r:id="rId396">
        <w:r>
          <w:rPr>
            <w:rStyle w:val="Hyperlink"/>
            <w:rFonts w:ascii="Times New Roman" w:hAnsi="Times New Roman"/>
            <w:b w:val="false"/>
            <w:i w:val="false"/>
            <w:color w:val="000000"/>
            <w:sz w:val="22"/>
          </w:rPr>
          <w:t>113.14(3)</w:t>
        </w:r>
      </w:hyperlink>
      <w:r>
        <w:rPr>
          <w:rFonts w:ascii="Times New Roman" w:hAnsi="Times New Roman"/>
          <w:b w:val="false"/>
          <w:i w:val="false"/>
          <w:color w:val="000000"/>
          <w:sz w:val="22"/>
        </w:rPr>
        <w:t xml:space="preserve"> to </w:t>
      </w:r>
      <w:hyperlink r:id="rId397">
        <w:r>
          <w:rPr>
            <w:rStyle w:val="Hyperlink"/>
            <w:rFonts w:ascii="Times New Roman" w:hAnsi="Times New Roman"/>
            <w:b w:val="false"/>
            <w:i w:val="false"/>
            <w:color w:val="000000"/>
            <w:sz w:val="22"/>
          </w:rPr>
          <w:t>113.14(5)</w:t>
        </w:r>
      </w:hyperlink>
      <w:r>
        <w:rPr>
          <w:rFonts w:ascii="Times New Roman" w:hAnsi="Times New Roman"/>
          <w:b w:val="false"/>
          <w:i w:val="false"/>
          <w:color w:val="000000"/>
          <w:sz w:val="22"/>
        </w:rPr>
        <w:t>; cost estimates for municipal solid waste management facilities pursuant to 40 CFR Section 258.74; and cost estimates required for the following environmental obligations, if the owner or operator assures those environmental obligations through a financial test: obligations associated with UIC facilities under 40 CFR Part 144, petroleum underground storage tank facilities under 40 CFR Part 280, PCB storage facilities under 40 CFR Part 761, and hazardous waste treatment, storage, and disposal facilities under 40 CFR Parts 264 and 265.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financial test. </w:t>
      </w:r>
      <w:r>
        <w:rPr>
          <w:rFonts w:ascii="Times New Roman" w:hAnsi="Times New Roman"/>
          <w:b w:val="false"/>
          <w:i w:val="false"/>
          <w:color w:val="000000"/>
          <w:sz w:val="22"/>
        </w:rPr>
        <w:t>An owner or operator that satisfies the requirements of this subrule may demonstrate financial assurance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component.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must satisfy one of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owner or operator has outstanding, rated, general obligation bonds that are not secured by insurance, a letter of credit, or other collateral or guarantee, the owner or operator must have a current rating of Aaa, Aa, A, or Baa, as issued by Moody’s, or AAA, AA, A, or BBB, as issued by Standard &amp; Poor’s on all such general obligation bonds; 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or operator must satisfy both of the following financial ratios based on the owner’s or operator’s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owner or operator must prepare its financial statements in conformity with Generally Accepted Accounting Principles or Other Comprehensive Bases of Accounting and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local government is not eligible to assure its obligations in paragraph </w:t>
      </w:r>
      <w:hyperlink r:id="rId398">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 xml:space="preserve"> if 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currently in default on any outstanding general obligation bonds;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Receives an adverse opinion or disclaimer of opinion from the independent certified public accountant or office of the auditor of the state of Iowa auditing its financial statement as required under numbered paragraph </w:t>
      </w:r>
      <w:hyperlink r:id="rId399">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(1)“2.” A qualified opinion that is related to the demonstration of financial assurance may, at the discretion of the department, be cause for disallowance of this mechanism.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following terms used in this paragraph are defined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“Cash plus marketable securities” means all the cash plus marketable securities held by the local government on the last day of a fiscal year, excluding cash and marketable securities designated to satisfy past obligations such as pensions.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“Debt service” means the amount of principal and interest due on a loan in a given time period, typically the current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“Deficit” means total annual revenues minus total annual expenditures.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expenditures” means all expenditures, excluding capital outlays and debt repayment.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revenues” means revenues from all taxes and fees, excluding revenue from funds managed by local government on behalf of a specific third party, and does not include the proceeds from borrowing or asset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notice component. The local government owner or operator must include disclosure of the closure and postclosure care costs assured through the financial test in its next annual audit report prior to the initial receipt of waste at the facility or prior to cancellation of an alternative financial assurance mechanism, whichever is later. A reference to corrective action costs must be placed in the next annual audit report after the corrective action plan is approved by the department. For the first year the financial test is used to assure costs at a particular facility, the reference may instead be placed in the facility’s official files until issuance of the next available annual audit report if timing does not permit the reference to be incorporated into the most recently issued annual audit report or budget. For closure and postclosure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letter signed by the local government’s chief financial officer that lists all the current cost estimates covered by a financial test, as described in subparagraph </w:t>
      </w:r>
      <w:hyperlink r:id="rId400">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 xml:space="preserve">(4); provides evidence and certifies that the local government meets the conditions of numbered paragraphs </w:t>
      </w:r>
      <w:hyperlink r:id="rId401">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 xml:space="preserve">(1)“1,” “2,” and “3”; and certifies that the local government meets the conditions of subparagraphs </w:t>
      </w:r>
      <w:hyperlink r:id="rId402">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(2) and (4);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local government’s annual financial report indicating compliance with the financial ratios required by numbered paragraph </w:t>
      </w:r>
      <w:hyperlink r:id="rId403">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 xml:space="preserve">(1)“1,” second bulleted paragraph, if applicable; and the requirements of numbered paragraph </w:t>
      </w:r>
      <w:hyperlink r:id="rId40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 xml:space="preserve">(1)“2” and the third and fourth bulleted paragraphs of numbered paragraph </w:t>
      </w:r>
      <w:hyperlink r:id="rId405">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(1)“3”; and also indicating that the requirements of Governmental Accounting Standards Board Statement 18 have been met.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items required in numbered paragraph </w:t>
      </w:r>
      <w:hyperlink r:id="rId406">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(3)“1” must be submitted to the department and placed in the facility’s official files prior to the receipt of waste or prior to the cancellation of an alternative financial mechanism, in the case of closure and postclosure care; or, in the case of corrective action, not later than 120 days after the corrective action plan is approved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the initial submission of the required items and their placement in the facility’s official files, the local government owner or operator must update the information and place the updated information in the facility’s official files within 180 days following the close of the owner’s or operator’s fiscal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owner or operator may cease the submission of the information required by paragraph </w:t>
      </w:r>
      <w:hyperlink r:id="rId407">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local government must satisfy the requirements of the financial test at the close of each fiscal year. If the local government owner or operator no longer meets the requirements of the local government financial test, the local government must, within 180 days following the close of the owner’s or operator’s fiscal year, obtain alternative financial assurance that meets the requirements of this rule, place the required submissions for that assurance in the operating record, and notify the department that the owner or operator no longer meets the criteria of the financial test and that alternative financial assurance has been obtained.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department, based on a reasonable belief that the local government owner or operator may no longer meet the requirements of the local government financial test, may require additional reports of financial conditions from the local government at any time. If the department finds, on the basis of such reports or other information, that the owner or operator no longer meets the requirements of the local government financial test, the local government must provide alternative financial assurance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Calculation of costs to be assured. The portion of the closure, postclosure care, and corrective action costs which an owner or operator may assure under this subrule is determined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local government owner or operator does not assure other environmental obligations through a financial test, the owner or operator may assure closure, postclosure care, and corrective action costs that equal up to 43 percent of the local government’s total annual revenue.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local government assures other environmental obligations through a financial test, including those associated with UIC facilities under 40 CFR Section 144.62, petroleum underground storage tank facilities under 40 CFR Part 280, PCB storage facilities under 40 CFR Part 761, and hazardous waste treatment, storage, and disposal facilities under 40 CFR Parts 264 and 265, the owner or operator must add those costs to the closure, postclosure care, and corrective action costs it seeks to assure under this subparagraph. The total that may be assured must not exceed 43 percent of the local government’s total annual revenue.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owner or operator must obtain an alternative financial assurance instrument for those costs that exceed the limits set in numbered paragraphs </w:t>
      </w:r>
      <w:hyperlink r:id="rId408">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(4)“1”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meet the requirements of this paragraph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 The guarantor must meet the requirements for owners or operators in paragraph </w:t>
      </w:r>
      <w:hyperlink r:id="rId409">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must comply with the terms of the guarantee. A certified copy of the guarantee must be placed in the facility’s operating record along with copies of the letter from a certified public accountant and the accountant’s opinions. If the guarantor’s parent corporation is also the parent corporation of the owner or operator, the letter from the certified public accountant must describe the value received in consideration of the guarantee. If the guarantor is an owner or operator with a ``substantial business relationship’’ with the owner or operator, this letter must describe this ``substantial business relationship’’ and the value received in consideration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guarantee must be effective and all required submissions made to the department prior to the initial receipt of waste or before cancellation of an alternative financial mechanism, in the case of closure and postclosure care; or, in the case of corrective action,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the guarantee must provide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owner or operator fails to perform closure, postclosure care, or corrective action of a facility covered by the guarantee, or fails to obtain alternative financial assurance within 90 days of notice of intent to cancel pursuant to numbered paragraphs </w:t>
      </w:r>
      <w:hyperlink r:id="rId410">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“g”</w:t>
      </w:r>
      <w:r>
        <w:rPr>
          <w:rFonts w:ascii="Times New Roman" w:hAnsi="Times New Roman"/>
          <w:b w:val="false"/>
          <w:i w:val="false"/>
          <w:color w:val="000000"/>
          <w:sz w:val="22"/>
        </w:rPr>
        <w:t>(3)“2” and “3,”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closure, postclosure care, or corrective action as required (performance guarantee);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paragraph </w:t>
      </w:r>
      <w:hyperlink r:id="rId411">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Obtain alternative financial assurance as required by numbered paragraph </w:t>
      </w:r>
      <w:hyperlink r:id="rId412">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“g”</w:t>
      </w:r>
      <w:r>
        <w:rPr>
          <w:rFonts w:ascii="Times New Roman" w:hAnsi="Times New Roman"/>
          <w:b w:val="false"/>
          <w:i w:val="false"/>
          <w:color w:val="000000"/>
          <w:sz w:val="22"/>
        </w:rPr>
        <w:t>(3)“3.”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guarantee will remain in force for as long as the owner or operator must comply with the applicable financial assurance requirements of this rule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the establishment of a fully funded trust fund pursuant to paragraph </w:t>
      </w:r>
      <w:hyperlink r:id="rId413">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fails to comply with the provisions of this paragraph within the 90-day period, the guarantor must provide that alternative financial assurance prior to cancellation of the 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corporate guarantor no longer meets the requirements of paragraph </w:t>
      </w:r>
      <w:hyperlink r:id="rId41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owner or operator must, within 90 days, obtain alternative financial assurance and submit proof of alternative financial assurance to the department. If the owner or operator fails to provide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is no longer required to meet the requirements of paragraph </w:t>
      </w:r>
      <w:hyperlink r:id="rId415">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“g”</w:t>
      </w:r>
      <w:r>
        <w:rPr>
          <w:rFonts w:ascii="Times New Roman" w:hAnsi="Times New Roman"/>
          <w:b w:val="false"/>
          <w:i w:val="false"/>
          <w:color w:val="000000"/>
          <w:sz w:val="22"/>
        </w:rPr>
        <w:t xml:space="preserve"> upon the submission to the department of proof of the substitution of alternative financial assurance or if the owner or operator is no longer required to demonstrate financial responsibility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postclosure care, or corrective action by obtaining a written guarantee provided by a local government or jointly provided by the members of an agency established pursuant to Iowa Code chapter </w:t>
      </w:r>
      <w:hyperlink r:id="rId41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The guarantor must meet the requirements of the local government financial test in paragraph </w:t>
      </w:r>
      <w:hyperlink r:id="rId417">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must comply with the terms of a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Terms of the written guarantee. The guarantee must be effective before the initial receipt of waste or before the cancellation of alternative financial assurance, in the case of closure and postclosure care; or no later than 120 days after the corrective action plan is approved by the department. The guarantee must provide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owner or operator fails to perform closure, postclosure care, or corrective action of a facility covered by the guarantee or fails to obtain alternative financial assurance within 90 days of notice of intent to cancel pursuant to numbered paragraphs </w:t>
      </w:r>
      <w:hyperlink r:id="rId418">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“h”</w:t>
      </w:r>
      <w:r>
        <w:rPr>
          <w:rFonts w:ascii="Times New Roman" w:hAnsi="Times New Roman"/>
          <w:b w:val="false"/>
          <w:i w:val="false"/>
          <w:color w:val="000000"/>
          <w:sz w:val="22"/>
        </w:rPr>
        <w:t>(1)“2” and “3,”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closure, postclosure care, or corrective action as required;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paragraph </w:t>
      </w:r>
      <w:hyperlink r:id="rId419">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Obtain alternative financial assurance as required by numbered paragraph </w:t>
      </w:r>
      <w:hyperlink r:id="rId420">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“h”</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guarantee will remain in force unless the guarantor sends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the establishment of a fully funded trust fund pursuant to paragraph </w:t>
      </w:r>
      <w:hyperlink r:id="rId421">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fails to comply with the provisions of this paragraph within the 90-day period, the guarantor must provide that alternative financial assurance prior to cancellation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owner or operator must submit to the department a certified copy of the guarantee along with the items required under subparagraph </w:t>
      </w:r>
      <w:hyperlink r:id="rId422">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(3) and place a copy in the facility’s official files before the initial receipt of waste or before cancellation of alternative financial assurance, whichever is later, in the case of closure and postclosure care;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owner or operator shall no longer be required to submit the items specified in numbered paragraph </w:t>
      </w:r>
      <w:hyperlink r:id="rId423">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“h”</w:t>
      </w:r>
      <w:r>
        <w:rPr>
          <w:rFonts w:ascii="Times New Roman" w:hAnsi="Times New Roman"/>
          <w:b w:val="false"/>
          <w:i w:val="false"/>
          <w:color w:val="000000"/>
          <w:sz w:val="22"/>
        </w:rPr>
        <w:t>(2)“1” when proof of alternative financial assurance has been submitted to the department or the owner or operator is no longer required to provide financial assurance pursuant to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a local government guarantor no longer meets the requirements of paragraph </w:t>
      </w:r>
      <w:hyperlink r:id="rId424">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owner or operator must, within 90 days, submit to the department proof of alternative financial assurance. If the owner or operator fails to obtain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 xml:space="preserve">The owner or operator of a publicly owned MSWLF or local government serving as a guarantor may demonstrate financial assurance for closure, postclosure care, or corrective action, whichever is applicable, by establishing a dedicated fund or account that conforms to the requirements of this subrule. A dedicated fund will be considered eligible if it complies with subparagraph </w:t>
      </w:r>
      <w:hyperlink r:id="rId425">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“i”</w:t>
      </w:r>
      <w:r>
        <w:rPr>
          <w:rFonts w:ascii="Times New Roman" w:hAnsi="Times New Roman"/>
          <w:b w:val="false"/>
          <w:i w:val="false"/>
          <w:color w:val="000000"/>
          <w:sz w:val="22"/>
        </w:rPr>
        <w:t>(1) or (2) below, and all other provisions of this paragraph, and documentation of this compliance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or order to pay for closure, postclosure care, or corrective action costs, whichever is applicable, arising from the operation of the MSWLF and shall be funded for the full amount of coverage or funded for part of the required amount of coverage and used in combination with another mechanism(s)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or order as a reserve fund and shall be funded for no less than the full amount of coverage or funded for part of the required amount of coverage and used in combination with another mechanism(s)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into the dedicated fund must be made annually by the owner or operator for ten years or over the permitted life of the MSWLF, whichever is shorter, in the case of a dedicated fund for closure or postclosure care; or over one-half of the estimated length of an approved corrective action plan in the case of a response to a known release. This is referred to as the “pay-in period.” The initial payment into the dedicated fund must be made before the initial receipt of waste in the case of closure and postclosure care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dedicated fund used to demonstrate financial assurance for closure and postclosure care, the first payment into the dedicated fund must be at least equal to the amount specified in subrule </w:t>
      </w:r>
      <w:hyperlink r:id="rId426">
        <w:r>
          <w:rPr>
            <w:rStyle w:val="Hyperlink"/>
            <w:rFonts w:ascii="Times New Roman" w:hAnsi="Times New Roman"/>
            <w:b w:val="false"/>
            <w:i w:val="false"/>
            <w:color w:val="000000"/>
            <w:sz w:val="22"/>
          </w:rPr>
          <w:t>113.14(9)</w:t>
        </w:r>
      </w:hyperlink>
      <w:r>
        <w:rPr>
          <w:rFonts w:ascii="Times New Roman" w:hAnsi="Times New Roman"/>
          <w:b w:val="false"/>
          <w:i w:val="false"/>
          <w:color w:val="000000"/>
          <w:sz w:val="22"/>
        </w:rPr>
        <w:t>, divided by the number of years in the pay-in period as defined in this subrule.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824"/>
        <w:gridCol w:w="384"/>
        <w:gridCol w:w="582"/>
        <w:gridCol w:w="384"/>
        <w:gridCol w:w="576"/>
        <w:gridCol w:w="3720"/>
        <w:gridCol w:w="3720"/>
      </w:tblGrid>
      <w:tr>
        <w:trPr>
          <w:trHeight w:val="225" w:hRule="atLeast"/>
        </w:trPr>
        <w:tc>
          <w:tcPr>
            <w:tcW w:w="182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Next Payment</w:t>
            </w:r>
          </w:p>
        </w:tc>
        <w:tc>
          <w:tcPr>
            <w:tcW w:w="38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8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r>
      <w:tr>
        <w:trPr>
          <w:trHeight w:val="225" w:hRule="atLeast"/>
        </w:trPr>
        <w:tc>
          <w:tcPr>
            <w:tcW w:w="0" w:type="auto"/>
            <w:vMerge/>
            <w:tcBorders>
              <w:top w:val="nil"/>
            </w:tcBorders>
          </w:tcPr>
          <w:p/>
        </w:tc>
        <w:tc>
          <w:tcPr>
            <w:tcW w:w="0" w:type="auto"/>
            <w:vMerge/>
            <w:tcBorders>
              <w:top w:val="nil"/>
            </w:tcBorders>
          </w:tcPr>
          <w:p/>
        </w:tc>
        <w:tc>
          <w:tcPr>
            <w:tcW w:w="5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CE is the total required financial assurance for the owner or operator, CB is the current balance of the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dedicated fund used to demonstrate financial assurance for corrective action, the first payment into the dedicated fund must be at least one-half of the current cost estimate, divided by the number of years in the corrective action pay-in period as defined in this subrule.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824"/>
        <w:gridCol w:w="384"/>
        <w:gridCol w:w="576"/>
        <w:gridCol w:w="384"/>
        <w:gridCol w:w="576"/>
        <w:gridCol w:w="3723"/>
        <w:gridCol w:w="3723"/>
      </w:tblGrid>
      <w:tr>
        <w:trPr>
          <w:trHeight w:val="225" w:hRule="atLeast"/>
        </w:trPr>
        <w:tc>
          <w:tcPr>
            <w:tcW w:w="182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RB</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CF</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RB is the most recent estimate of the required dedicated fund balance, which is the total cost that will be incurred during the second half of the corrective action period, CF is the current amount in the dedicated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dedicated fund must be made before the initial receipt of waste or before the cancellation of an alternative financial assurance mechanism, in the case of closure and postclosure care; or no later than 120 days after the corrective action remedy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the dedicated fund shall be adjusted annually to correct any deficiency of the fund with respect to the adjusted cost estimates and may be adjusted annually should the balance in the fund exceed the adjusted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113.14(7)</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multiple financial mechanisms. An owner or operator may satisfy the requirements of this subrule by establishing more than one financial mechanism per facility. The mechanisms must be a combination of those mechanisms outlined in this rule and must provide financial assurance for an amount at least equal to the current cost estimate for closure, postclosure care, or corrective action, whichever is applicable. The financial test and a guarantee provided by a corporate parent, sibling or grandparent may not be combined if the financial statements of the two entities are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one mechanism for multiple facilities. An owner or operator may satisfy the requirements of this subrule for multiple MSWLFs by the use of one mechanism if the owner or operator ensures that the mechanism provides financial assurance for an amount at least equal to the current cost estimates for closure, postclosure care, or corrective action, whichever is applicable, for all MSWLFs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The language of the financial assurance mechanisms listed in this rule must ensure that the instruments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ensure that the amount of funds assured is sufficient to cover the costs of closure, postclosure care, or corrective action for known releases,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ensure that funds will be available in a timely fashion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be obtained by the owner or operator prior to the initial receipt of solid waste and no later than 120 days after the corrective action plan has been approved by the department until the owner or operator is released from the financial assurance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be legally valid, binding, and enforceable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permit shall be issued by the department pursuant to Iowa Code section </w:t>
      </w:r>
      <w:hyperlink r:id="rId427">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unless the applicant has demonstrated compliance with rule </w:t>
      </w:r>
      <w:hyperlink r:id="rId428">
        <w:r>
          <w:rPr>
            <w:rStyle w:val="Hyperlink"/>
            <w:rFonts w:ascii="Times New Roman" w:hAnsi="Times New Roman"/>
            <w:b w:val="false"/>
            <w:i w:val="false"/>
            <w:color w:val="000000"/>
            <w:sz w:val="22"/>
          </w:rPr>
          <w:t>567—113.14(455B)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113.14(8)</w:t>
      </w:r>
      <w:r>
        <w:rPr>
          <w:rFonts w:ascii="Times New Roman" w:hAnsi="Times New Roman"/>
          <w:b w:val="false"/>
          <w:i w:val="false"/>
          <w:color w:val="000000"/>
          <w:sz w:val="22"/>
        </w:rPr>
        <w:t> </w:t>
      </w:r>
      <w:r>
        <w:rPr>
          <w:rFonts w:ascii="Times New Roman" w:hAnsi="Times New Roman"/>
          <w:b w:val="false"/>
          <w:i/>
          <w:color w:val="000000"/>
          <w:sz w:val="22"/>
        </w:rPr>
        <w:t xml:space="preserve">Closure and postclosure accounts. </w:t>
      </w:r>
      <w:r>
        <w:rPr>
          <w:rFonts w:ascii="Times New Roman" w:hAnsi="Times New Roman"/>
          <w:b w:val="false"/>
          <w:i w:val="false"/>
          <w:color w:val="000000"/>
          <w:sz w:val="22"/>
        </w:rPr>
        <w:t xml:space="preserve">The holder of a permit for an MSWLF shall maintain a separate account for closure and postclosure care as required by Iowa Code section </w:t>
      </w:r>
      <w:hyperlink r:id="rId429">
        <w:r>
          <w:rPr>
            <w:rStyle w:val="Hyperlink"/>
            <w:rFonts w:ascii="Times New Roman" w:hAnsi="Times New Roman"/>
            <w:b w:val="false"/>
            <w:i w:val="false"/>
            <w:color w:val="000000"/>
            <w:sz w:val="22"/>
          </w:rPr>
          <w:t>455B.306(8)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account shall be specific to a particular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For the purpose of this subrule,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means a formal, separate set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balance” </w:t>
      </w:r>
      <w:r>
        <w:rPr>
          <w:rFonts w:ascii="Times New Roman" w:hAnsi="Times New Roman"/>
          <w:b w:val="false"/>
          <w:i w:val="false"/>
          <w:color w:val="000000"/>
          <w:sz w:val="22"/>
        </w:rPr>
        <w:t xml:space="preserve">means cash in an account established pursuant to this rule plus the current value of investments of moneys collected pursuant to subrule </w:t>
      </w:r>
      <w:hyperlink r:id="rId430">
        <w:r>
          <w:rPr>
            <w:rStyle w:val="Hyperlink"/>
            <w:rFonts w:ascii="Times New Roman" w:hAnsi="Times New Roman"/>
            <w:b w:val="false"/>
            <w:i w:val="false"/>
            <w:color w:val="000000"/>
            <w:sz w:val="22"/>
          </w:rPr>
          <w:t>113.14(8)</w:t>
        </w:r>
      </w:hyperlink>
      <w:r>
        <w:rPr>
          <w:rFonts w:ascii="Times New Roman" w:hAnsi="Times New Roman"/>
          <w:b w:val="false"/>
          <w:i w:val="false"/>
          <w:color w:val="000000"/>
          <w:sz w:val="22"/>
        </w:rPr>
        <w:t xml:space="preserve"> and used to purchase one or more of the investments listed in Iowa Code section </w:t>
      </w:r>
      <w:hyperlink r:id="rId431">
        <w:r>
          <w:rPr>
            <w:rStyle w:val="Hyperlink"/>
            <w:rFonts w:ascii="Times New Roman" w:hAnsi="Times New Roman"/>
            <w:b w:val="false"/>
            <w:i w:val="false"/>
            <w:color w:val="000000"/>
            <w:sz w:val="22"/>
          </w:rPr>
          <w:t>12B.10(5)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cost estimate” </w:t>
      </w:r>
      <w:r>
        <w:rPr>
          <w:rFonts w:ascii="Times New Roman" w:hAnsi="Times New Roman"/>
          <w:b w:val="false"/>
          <w:i w:val="false"/>
          <w:color w:val="000000"/>
          <w:sz w:val="22"/>
        </w:rPr>
        <w:t xml:space="preserve">means the closure cost estimate prepared and submitted to the department pursuant to subrule </w:t>
      </w:r>
      <w:hyperlink r:id="rId432">
        <w:r>
          <w:rPr>
            <w:rStyle w:val="Hyperlink"/>
            <w:rFonts w:ascii="Times New Roman" w:hAnsi="Times New Roman"/>
            <w:b w:val="false"/>
            <w:i w:val="false"/>
            <w:color w:val="000000"/>
            <w:sz w:val="22"/>
          </w:rPr>
          <w:t>113.14(3)</w:t>
        </w:r>
      </w:hyperlink>
      <w:r>
        <w:rPr>
          <w:rFonts w:ascii="Times New Roman" w:hAnsi="Times New Roman"/>
          <w:b w:val="false"/>
          <w:i w:val="false"/>
          <w:color w:val="000000"/>
          <w:sz w:val="22"/>
        </w:rPr>
        <w:t xml:space="preserve"> and the postclosure cost estimate prepared and submitted pursuant to subrule </w:t>
      </w:r>
      <w:hyperlink r:id="rId433">
        <w:r>
          <w:rPr>
            <w:rStyle w:val="Hyperlink"/>
            <w:rFonts w:ascii="Times New Roman" w:hAnsi="Times New Roman"/>
            <w:b w:val="false"/>
            <w:i w:val="false"/>
            <w:color w:val="000000"/>
            <w:sz w:val="22"/>
          </w:rPr>
          <w:t>113.14(4)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Moneys in the accounts shall not be assigned for the benefit of creditors except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Moneys in the accounts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of funds. Except as provided in paragraph </w:t>
      </w:r>
      <w:hyperlink r:id="rId434">
        <w:r>
          <w:rPr>
            <w:rStyle w:val="Hyperlink"/>
            <w:rFonts w:ascii="Times New Roman" w:hAnsi="Times New Roman"/>
            <w:b w:val="false"/>
            <w:i w:val="false"/>
            <w:color w:val="000000"/>
            <w:sz w:val="22"/>
          </w:rPr>
          <w:t>113.14(8)</w:t>
        </w:r>
      </w:hyperlink>
      <w:r>
        <w:rPr>
          <w:rFonts w:ascii="Times New Roman" w:hAnsi="Times New Roman"/>
          <w:b w:val="false"/>
          <w:i/>
          <w:color w:val="000000"/>
          <w:sz w:val="22"/>
        </w:rPr>
        <w:t>“e,”</w:t>
      </w:r>
      <w:r>
        <w:rPr>
          <w:rFonts w:ascii="Times New Roman" w:hAnsi="Times New Roman"/>
          <w:b w:val="false"/>
          <w:i w:val="false"/>
          <w:color w:val="000000"/>
          <w:sz w:val="22"/>
        </w:rPr>
        <w:t xml:space="preserve"> moneys in the accounts may be withdrawn without departmental approval only for the purpose of funding closure, including partial closure, or postclosure activities that are in conformance with a closure/postclosure plan which has been submitted pursuant to paragraph </w:t>
      </w:r>
      <w:hyperlink r:id="rId435">
        <w:r>
          <w:rPr>
            <w:rStyle w:val="Hyperlink"/>
            <w:rFonts w:ascii="Times New Roman" w:hAnsi="Times New Roman"/>
            <w:b w:val="false"/>
            <w:i w:val="false"/>
            <w:color w:val="000000"/>
            <w:sz w:val="22"/>
          </w:rPr>
          <w:t>113.5(1)</w:t>
        </w:r>
      </w:hyperlink>
      <w:r>
        <w:rPr>
          <w:rFonts w:ascii="Times New Roman" w:hAnsi="Times New Roman"/>
          <w:b w:val="false"/>
          <w:i/>
          <w:color w:val="000000"/>
          <w:sz w:val="22"/>
        </w:rPr>
        <w:t>“i.”</w:t>
      </w:r>
      <w:r>
        <w:rPr>
          <w:rFonts w:ascii="Times New Roman" w:hAnsi="Times New Roman"/>
          <w:b w:val="false"/>
          <w:i w:val="false"/>
          <w:color w:val="000000"/>
          <w:sz w:val="22"/>
        </w:rPr>
        <w:t xml:space="preserve"> Withdrawals for activities not in conformance with a closure/postclosure plan must receive prior written approval from the department. Permit holders using a trust fund established pursuant to paragraph </w:t>
      </w:r>
      <w:hyperlink r:id="rId436">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satisfy the requirements of this subrule must comply with the requirements of subparagraph </w:t>
      </w:r>
      <w:hyperlink r:id="rId437">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(6) prior to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Excess funds. If the balance of a closure or postclosure account exceeds the current cost estimate for closure or postclosure at any time, the permit holder may withdraw the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Initial proof of establishment of account. A permit holder shall submit a statement of account, signed by the permit holder, to the department by April 1, 2003, that indicates that accounts have been established pursuant to this subrule. Permit holders for new MSWLFs permitted after April 1, 2003, shall submit to the department prior to the MSWLF’s initial receipt of waste a statement of account, signed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account established pursuant to paragraph </w:t>
      </w:r>
      <w:hyperlink r:id="rId438">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trust funds or paragraph </w:t>
      </w:r>
      <w:hyperlink r:id="rId439">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“i”</w:t>
      </w:r>
      <w:r>
        <w:rPr>
          <w:rFonts w:ascii="Times New Roman" w:hAnsi="Times New Roman"/>
          <w:b w:val="false"/>
          <w:i w:val="false"/>
          <w:color w:val="000000"/>
          <w:sz w:val="22"/>
        </w:rPr>
        <w:t xml:space="preserve"> for local government dedicated funds also satisfies the requirements of this subrule, and the permit holder shall not be required to establish closure and postclosure accounts in addition to said financial assurance accounts. Accounts established pursuant to paragraph </w:t>
      </w:r>
      <w:hyperlink r:id="rId440">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441">
        <w:r>
          <w:rPr>
            <w:rStyle w:val="Hyperlink"/>
            <w:rFonts w:ascii="Times New Roman" w:hAnsi="Times New Roman"/>
            <w:b w:val="false"/>
            <w:i w:val="false"/>
            <w:color w:val="000000"/>
            <w:sz w:val="22"/>
          </w:rPr>
          <w:t>113.14(6)</w:t>
        </w:r>
      </w:hyperlink>
      <w:r>
        <w:rPr>
          <w:rFonts w:ascii="Times New Roman" w:hAnsi="Times New Roman"/>
          <w:b w:val="false"/>
          <w:i/>
          <w:color w:val="000000"/>
          <w:sz w:val="22"/>
        </w:rPr>
        <w:t>“i,”</w:t>
      </w:r>
      <w:r>
        <w:rPr>
          <w:rFonts w:ascii="Times New Roman" w:hAnsi="Times New Roman"/>
          <w:b w:val="false"/>
          <w:i w:val="false"/>
          <w:color w:val="000000"/>
          <w:sz w:val="22"/>
        </w:rPr>
        <w:t xml:space="preserve"> which are intended to satisfy the requirements of this subrule, must comply with Iowa Code section </w:t>
      </w:r>
      <w:hyperlink r:id="rId442">
        <w:r>
          <w:rPr>
            <w:rStyle w:val="Hyperlink"/>
            <w:rFonts w:ascii="Times New Roman" w:hAnsi="Times New Roman"/>
            <w:b w:val="false"/>
            <w:i w:val="false"/>
            <w:color w:val="000000"/>
            <w:sz w:val="22"/>
          </w:rPr>
          <w:t>455B.306(8)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Yearly deposits. Deposits into the closure and postclosure accounts shall be made at least yearly in the amounts specified in this subrule beginning with the close of the facility’s first fiscal year that begins after June 30, 2002. The deposits shall be made within 30 days of the close of each fiscal year. The minimum yearly deposit to the closure and postclosure accounts shall be determined using the following formula:</w:t>
      </w:r>
    </w:p>
    <w:tbl>
      <w:tblPr>
        <w:tblW w:w="5000" w:type="pct"/>
        <w:tblCellSpacing w:w="0" w:type="auto"/>
        <w:tblBorders>
          <w:top w:val="none"/>
          <w:left w:val="none"/>
          <w:bottom w:val="none"/>
          <w:right w:val="none"/>
          <w:insideH w:val="none"/>
          <w:insideV w:val="none"/>
        </w:tblBorders>
        <w:tblLayout w:type="fixed"/>
      </w:tblPr>
      <w:tblGrid>
        <w:gridCol w:w="1338"/>
        <w:gridCol w:w="1146"/>
        <w:gridCol w:w="1338"/>
        <w:gridCol w:w="1146"/>
        <w:gridCol w:w="1338"/>
        <w:gridCol w:w="1146"/>
        <w:gridCol w:w="3738"/>
      </w:tblGrid>
      <w:tr>
        <w:trPr>
          <w:trHeight w:val="225" w:hRule="atLeast"/>
        </w:trPr>
        <w:tc>
          <w:tcPr>
            <w:tcW w:w="1338"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114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38"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c>
          <w:tcPr>
            <w:tcW w:w="114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133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TR</w:t>
            </w:r>
          </w:p>
        </w:tc>
        <w:tc>
          <w:tcPr>
            <w:tcW w:w="114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73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yearly deposit to account</w:t>
            </w:r>
          </w:p>
        </w:tc>
      </w:tr>
      <w:tr>
        <w:trPr>
          <w:trHeight w:val="225" w:hRule="atLeast"/>
        </w:trPr>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RPC</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“CE” means the current cost estimate of closure and postclosure costs.</w:t>
      </w:r>
    </w:p>
    <w:p>
      <w:pPr>
        <w:spacing w:before="0" w:after="0"/>
        <w:ind w:left="120"/>
        <w:jc w:val="both"/>
      </w:pPr>
      <w:r>
        <w:rPr>
          <w:rFonts w:ascii="Times New Roman" w:hAnsi="Times New Roman"/>
          <w:b w:val="false"/>
          <w:i w:val="false"/>
          <w:color w:val="000000"/>
          <w:sz w:val="22"/>
        </w:rPr>
        <w:t>“CB” means the current balance of the closure or postclosure accounts.</w:t>
      </w:r>
    </w:p>
    <w:p>
      <w:pPr>
        <w:spacing w:before="0" w:after="0"/>
        <w:ind w:left="120"/>
        <w:jc w:val="both"/>
      </w:pPr>
      <w:r>
        <w:rPr>
          <w:rFonts w:ascii="Times New Roman" w:hAnsi="Times New Roman"/>
          <w:b w:val="false"/>
          <w:i w:val="false"/>
          <w:color w:val="000000"/>
          <w:sz w:val="22"/>
        </w:rPr>
        <w:t>“RPC” means the remaining permitted capacity, in tons, of the MSWLF as of the start of the permit holder’s fiscal year.</w:t>
      </w:r>
    </w:p>
    <w:p>
      <w:pPr>
        <w:spacing w:before="0" w:after="0"/>
        <w:ind w:left="120"/>
        <w:jc w:val="both"/>
      </w:pPr>
      <w:r>
        <w:rPr>
          <w:rFonts w:ascii="Times New Roman" w:hAnsi="Times New Roman"/>
          <w:b w:val="false"/>
          <w:i w:val="false"/>
          <w:color w:val="000000"/>
          <w:sz w:val="22"/>
        </w:rPr>
        <w:t>“TR” is the number of tons of solid waste disposed of at the facility in the prior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and postclosure accounts may be commingled with other accounts so long as the amounts credited to each account balance are reported separately pursuant to paragraphs </w:t>
      </w:r>
      <w:hyperlink r:id="rId443">
        <w:r>
          <w:rPr>
            <w:rStyle w:val="Hyperlink"/>
            <w:rFonts w:ascii="Times New Roman" w:hAnsi="Times New Roman"/>
            <w:b w:val="false"/>
            <w:i w:val="false"/>
            <w:color w:val="000000"/>
            <w:sz w:val="22"/>
          </w:rPr>
          <w:t>113.14(3)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44">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full rights of access to all funds existing in a facility’s closure or postclosure account, at the sole discretion of the department, if the permit holder fails to undertake closure or postclosure activities after being directed to do so by a final agency action of the department. These funds shall be used only for the purposes of funding closure and postclosure activities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113.14(9)</w:t>
      </w:r>
      <w:r>
        <w:rPr>
          <w:rFonts w:ascii="Times New Roman" w:hAnsi="Times New Roman"/>
          <w:b w:val="false"/>
          <w:i w:val="false"/>
          <w:color w:val="000000"/>
          <w:sz w:val="22"/>
        </w:rPr>
        <w:t> </w:t>
      </w:r>
      <w:r>
        <w:rPr>
          <w:rFonts w:ascii="Times New Roman" w:hAnsi="Times New Roman"/>
          <w:b w:val="false"/>
          <w:i/>
          <w:color w:val="000000"/>
          <w:sz w:val="22"/>
        </w:rPr>
        <w:t xml:space="preserve">Amount of required financial assurance. </w:t>
      </w:r>
      <w:r>
        <w:rPr>
          <w:rFonts w:ascii="Times New Roman" w:hAnsi="Times New Roman"/>
          <w:b w:val="false"/>
          <w:i w:val="false"/>
          <w:color w:val="000000"/>
          <w:sz w:val="22"/>
        </w:rPr>
        <w:t xml:space="preserve">A financial assurance mechanism established pursuant to subrule </w:t>
      </w:r>
      <w:hyperlink r:id="rId445">
        <w:r>
          <w:rPr>
            <w:rStyle w:val="Hyperlink"/>
            <w:rFonts w:ascii="Times New Roman" w:hAnsi="Times New Roman"/>
            <w:b w:val="false"/>
            <w:i w:val="false"/>
            <w:color w:val="000000"/>
            <w:sz w:val="22"/>
          </w:rPr>
          <w:t>113.14(6)</w:t>
        </w:r>
      </w:hyperlink>
      <w:r>
        <w:rPr>
          <w:rFonts w:ascii="Times New Roman" w:hAnsi="Times New Roman"/>
          <w:b w:val="false"/>
          <w:i w:val="false"/>
          <w:color w:val="000000"/>
          <w:sz w:val="22"/>
        </w:rPr>
        <w:t xml:space="preserve"> shall be in the amount of the third-party cost estimates required by subrules </w:t>
      </w:r>
      <w:hyperlink r:id="rId446">
        <w:r>
          <w:rPr>
            <w:rStyle w:val="Hyperlink"/>
            <w:rFonts w:ascii="Times New Roman" w:hAnsi="Times New Roman"/>
            <w:b w:val="false"/>
            <w:i w:val="false"/>
            <w:color w:val="000000"/>
            <w:sz w:val="22"/>
          </w:rPr>
          <w:t>113.14(3)</w:t>
        </w:r>
      </w:hyperlink>
      <w:r>
        <w:rPr>
          <w:rFonts w:ascii="Times New Roman" w:hAnsi="Times New Roman"/>
          <w:b w:val="false"/>
          <w:i w:val="false"/>
          <w:color w:val="000000"/>
          <w:sz w:val="22"/>
        </w:rPr>
        <w:t xml:space="preserve">, </w:t>
      </w:r>
      <w:hyperlink r:id="rId447">
        <w:r>
          <w:rPr>
            <w:rStyle w:val="Hyperlink"/>
            <w:rFonts w:ascii="Times New Roman" w:hAnsi="Times New Roman"/>
            <w:b w:val="false"/>
            <w:i w:val="false"/>
            <w:color w:val="000000"/>
            <w:sz w:val="22"/>
          </w:rPr>
          <w:t>113.14(4)</w:t>
        </w:r>
      </w:hyperlink>
      <w:r>
        <w:rPr>
          <w:rFonts w:ascii="Times New Roman" w:hAnsi="Times New Roman"/>
          <w:b w:val="false"/>
          <w:i w:val="false"/>
          <w:color w:val="000000"/>
          <w:sz w:val="22"/>
        </w:rPr>
        <w:t xml:space="preserve">, and </w:t>
      </w:r>
      <w:hyperlink r:id="rId448">
        <w:r>
          <w:rPr>
            <w:rStyle w:val="Hyperlink"/>
            <w:rFonts w:ascii="Times New Roman" w:hAnsi="Times New Roman"/>
            <w:b w:val="false"/>
            <w:i w:val="false"/>
            <w:color w:val="000000"/>
            <w:sz w:val="22"/>
          </w:rPr>
          <w:t>113.14(5)</w:t>
        </w:r>
      </w:hyperlink>
      <w:r>
        <w:rPr>
          <w:rFonts w:ascii="Times New Roman" w:hAnsi="Times New Roman"/>
          <w:b w:val="false"/>
          <w:i w:val="false"/>
          <w:color w:val="000000"/>
          <w:sz w:val="22"/>
        </w:rPr>
        <w:t xml:space="preserve"> except that the amount of the financial assurance may be reduced by the sum of the cash balance in a trust fund or local government dedicated fund established to comply with subrule </w:t>
      </w:r>
      <w:hyperlink r:id="rId449">
        <w:r>
          <w:rPr>
            <w:rStyle w:val="Hyperlink"/>
            <w:rFonts w:ascii="Times New Roman" w:hAnsi="Times New Roman"/>
            <w:b w:val="false"/>
            <w:i w:val="false"/>
            <w:color w:val="000000"/>
            <w:sz w:val="22"/>
          </w:rPr>
          <w:t>113.14(8)</w:t>
        </w:r>
      </w:hyperlink>
      <w:r>
        <w:rPr>
          <w:rFonts w:ascii="Times New Roman" w:hAnsi="Times New Roman"/>
          <w:b w:val="false"/>
          <w:i w:val="false"/>
          <w:color w:val="000000"/>
          <w:sz w:val="22"/>
        </w:rPr>
        <w:t xml:space="preserve"> plus the current value of investments held by said trust fund or local government dedicated fund if invested in one or more of the investments listed in Iowa Code section </w:t>
      </w:r>
      <w:hyperlink r:id="rId450">
        <w:r>
          <w:rPr>
            <w:rStyle w:val="Hyperlink"/>
            <w:rFonts w:ascii="Times New Roman" w:hAnsi="Times New Roman"/>
            <w:b w:val="false"/>
            <w:i w:val="false"/>
            <w:color w:val="000000"/>
            <w:sz w:val="22"/>
          </w:rPr>
          <w:t>12B.10(5)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567—113.15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Variances. </w:t>
      </w:r>
      <w:r>
        <w:rPr>
          <w:rFonts w:ascii="Times New Roman" w:hAnsi="Times New Roman"/>
          <w:b w:val="false"/>
          <w:i w:val="false"/>
          <w:color w:val="000000"/>
          <w:sz w:val="22"/>
        </w:rPr>
        <w:t xml:space="preserve">A request for a variance to this chapter shall be submitted in writing pursuant to </w:t>
      </w:r>
      <w:hyperlink r:id="rId451">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 Some provisions of this chapter are minimum standards required by federal law (see 40 CFR 258), and variances to such provisions shall not be granted unless they are as protective as the applicable minimum federal standards.</w:t>
      </w:r>
    </w:p>
    <w:p>
      <w:pPr>
        <w:spacing w:before="0" w:after="0"/>
        <w:ind w:left="120"/>
        <w:jc w:val="center"/>
      </w:pPr>
      <w:r>
        <w:rPr>
          <w:rFonts w:ascii="Times New Roman" w:hAnsi="Times New Roman"/>
          <w:b w:val="false"/>
          <w:i w:val="false"/>
          <w:color w:val="000000"/>
          <w:sz w:val="22"/>
        </w:rPr>
        <w:t>Appendix I</w:t>
      </w:r>
    </w:p>
    <w:p>
      <w:pPr>
        <w:spacing w:before="0" w:after="0"/>
        <w:ind w:left="120"/>
        <w:jc w:val="center"/>
      </w:pPr>
      <w:r>
        <w:rPr>
          <w:rFonts w:ascii="Times New Roman" w:hAnsi="Times New Roman"/>
          <w:b w:val="false"/>
          <w:i w:val="false"/>
          <w:color w:val="000000"/>
          <w:sz w:val="22"/>
        </w:rPr>
        <w:t>Constituents for Detection Monitoring</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273"/>
        <w:gridCol w:w="2916"/>
      </w:tblGrid>
      <w:tr>
        <w:trPr>
          <w:trHeight w:val="285" w:hRule="atLeast"/>
        </w:trPr>
        <w:tc>
          <w:tcPr>
            <w:tcW w:w="827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Inorganic Constituents:</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Antimony</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Arsenic</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Barium</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Beryllium</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Cadmium</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Chromium</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Cobalt</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Copper</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Lead</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Nickel</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 Selenium</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 Silver</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 Thallium</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(14) Vanadium</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r>
        <w:trPr>
          <w:trHeight w:val="255" w:hRule="atLeast"/>
        </w:trPr>
        <w:tc>
          <w:tcPr>
            <w:tcW w:w="827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(15) Zinc</w:t>
            </w:r>
          </w:p>
        </w:tc>
        <w:tc>
          <w:tcPr>
            <w:tcW w:w="2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273"/>
        <w:gridCol w:w="2916"/>
      </w:tblGrid>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Organic Constituents:</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 Acetone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67-64-1</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(17) Acrylonitrile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107-13-1</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(18) Benzene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71-43-2</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(19) Bromochloromethane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74-97-5</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Bromodichloromethane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75-27-4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(21) Bromoform; Tribromomethane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75-25-2</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(22) Carbon disulfide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75-15-0</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(23) Carbon tetrachloride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56-23-5</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 Chlorobenzene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108-90-7</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(25) Chloroethane; Ethyl chloride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75-00-3</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(26) Chloroform; Trichloromethane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67-66-3</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(27) Dibromochloromethane; Chlorodibromomethane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124-48-1</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(28) 1,2-Dibromo-3-chloropropane; DBCP</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96-12-8</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(29) 1,2-Dibromoethane; Ethylene dibromide; EDB</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106-93-4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o-Dichlorobenzene; 1,2-Dichlorobenzene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95-50-1</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(31) p-Dichlorobenzene; 1,4-Dichlorobenzene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106-46-7</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(32) trans-1,4-Dichloro-2-butene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110-57-6</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(33) 1,1-Dichloroethane; Ethylidene chloride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75-34-3</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(34) 1,2-Dichloroethane; Ethylene dichloride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107-06-2</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(35) 1,1-Dichloroethylene; 1,1-Dichloroethene; Vinylidene chloride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75-35-4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(36) cis-1,2-Dichloroethylene; cis-1,2-Dichloroethene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156-59-2</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(37) trans-1,2-Dichloroethylene; trans-1,2-Dichloroethene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156-60-5</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(38) 1,2-Dichloropropane; Propylene dichloride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78-87-5</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(39) cis-1,3-Dichloropropene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10061-01-5</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 trans-1,3-Dichloropropene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10061-02-6</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(41) Ethylbenzene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100-41-4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(42) 2-Hexanone; Methyl butyl ketone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591-78-6</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(43) Methyl bromide; Bromomethane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74-83-9</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(44) Methyl chloride; Chloromethane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74-87-3</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 Methylene bromide; Dibromomethane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74-95-3</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(46) Methylene chloride; Dichloromethane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75-09-2</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(47) Methyl ethyl ketone; MEK; 2-Butanone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78-93-3</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(48) Methyl iodide; Iodomethane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74-88-4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(49) 4-Methyl-2-pentanone; Methyl isobutyl ketone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108-10-1</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 Styrene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100-42-5</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(51) 1,1,1,2-Tetrachloroethane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630-20-6</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(52) 1,1,2,2-Tetrachloroethane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79-34-5</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(53) Tetrachloroethylene; Tetrachloroethene; Perchloroethylene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127-18-4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(54) Toluene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108-88-3</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(55) 1,1,1-Trichloroethane; Methylchloroform</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71-55-6</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(56) 1,1,2-Trichloroethane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79-00-5</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(57) Trichloroethylene; Trichloroethene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79-01-6</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(58) Trichlorofluoromethane; CFC-11</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75-69-4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(59) 1,2,3-Trichloropropane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96-18-4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 Vinyl acetate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108-05-4</w:t>
            </w:r>
          </w:p>
        </w:tc>
      </w:tr>
      <w:tr>
        <w:trPr>
          <w:trHeight w:val="255" w:hRule="atLeast"/>
        </w:trPr>
        <w:tc>
          <w:tcPr>
            <w:tcW w:w="82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(61) Vinyl chloride</w:t>
            </w:r>
          </w:p>
        </w:tc>
        <w:tc>
          <w:tcPr>
            <w:tcW w:w="29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75-01-4</w:t>
            </w:r>
          </w:p>
        </w:tc>
      </w:tr>
      <w:tr>
        <w:trPr>
          <w:trHeight w:val="255" w:hRule="atLeast"/>
        </w:trPr>
        <w:tc>
          <w:tcPr>
            <w:tcW w:w="827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(62) Xylenes</w:t>
            </w:r>
          </w:p>
        </w:tc>
        <w:tc>
          <w:tcPr>
            <w:tcW w:w="2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1330-20-7</w:t>
            </w:r>
          </w:p>
        </w:tc>
      </w:tr>
    </w:tbl>
    <w:p>
      <w:pPr>
        <w:spacing w:before="0" w:after="0"/>
        <w:ind w:left="120"/>
        <w:jc w:val="both"/>
      </w:pPr>
      <w:r>
        <w:rPr>
          <w:rFonts w:ascii="Times New Roman" w:hAnsi="Times New Roman"/>
          <w:b w:val="false"/>
          <w:i w:val="false"/>
          <w:color w:val="000000"/>
          <w:sz w:val="22"/>
        </w:rPr>
        <w:t>Notes:</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This list contains 47 volatile organics for which possible analytical procedures provided in EPA Report SW-846 ``Test Methods for Evaluating Solid Waste,’’ third edition, November 1986, as revised December 1987, includes Method 8260; and 15 metals for which SW-846 provides either Method 6010 or a method from the 7000 series of methods.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Common names are those widely used in government regulations, scientific publications, and commerce; synonyms exist for many chemicals.</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Chemical Abstracts Service registry number. Where ``Total’’ is entered, all species in the groundwater that contain this element are included.</w:t>
      </w:r>
    </w:p>
    <w:p>
      <w:pPr>
        <w:spacing w:before="0" w:after="0"/>
        <w:ind w:left="120"/>
        <w:jc w:val="center"/>
      </w:pPr>
      <w:r>
        <w:rPr>
          <w:rFonts w:ascii="Times New Roman" w:hAnsi="Times New Roman"/>
          <w:b w:val="false"/>
          <w:i w:val="false"/>
          <w:color w:val="000000"/>
          <w:sz w:val="22"/>
        </w:rPr>
        <w:t>Appendix II</w:t>
      </w:r>
    </w:p>
    <w:p>
      <w:pPr>
        <w:spacing w:before="0" w:after="0"/>
        <w:ind w:left="120"/>
        <w:jc w:val="center"/>
      </w:pPr>
      <w:r>
        <w:rPr>
          <w:rFonts w:ascii="Times New Roman" w:hAnsi="Times New Roman"/>
          <w:b w:val="false"/>
          <w:i w:val="false"/>
          <w:color w:val="000000"/>
          <w:sz w:val="22"/>
        </w:rPr>
        <w:t>List of Hazardous Inorganic and Organic Constituents</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00"/>
        <w:gridCol w:w="1499"/>
        <w:gridCol w:w="3572"/>
        <w:gridCol w:w="1399"/>
        <w:gridCol w:w="1119"/>
      </w:tblGrid>
      <w:tr>
        <w:trPr>
          <w:trHeight w:val="57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Common Name</w:t>
            </w:r>
            <w:r>
              <w:rPr>
                <w:rFonts w:ascii="Times New Roman" w:hAnsi="Times New Roman"/>
                <w:b w:val="false"/>
                <w:i w:val="false"/>
                <w:color w:val="000000"/>
                <w:sz w:val="18"/>
                <w:vertAlign w:val="superscript"/>
              </w:rPr>
              <w:t>2</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CAS RN</w:t>
            </w:r>
            <w:r>
              <w:rPr>
                <w:rFonts w:ascii="Times New Roman" w:hAnsi="Times New Roman"/>
                <w:b w:val="false"/>
                <w:i w:val="false"/>
                <w:color w:val="000000"/>
                <w:sz w:val="18"/>
                <w:vertAlign w:val="superscript"/>
              </w:rPr>
              <w:t>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Chemical abstracts index name</w:t>
            </w:r>
            <w:r>
              <w:rPr>
                <w:rFonts w:ascii="Times New Roman" w:hAnsi="Times New Roman"/>
                <w:b w:val="false"/>
                <w:i w:val="false"/>
                <w:color w:val="000000"/>
                <w:sz w:val="18"/>
                <w:vertAlign w:val="superscript"/>
              </w:rPr>
              <w:t>4</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Suggested Method</w:t>
            </w:r>
            <w:r>
              <w:rPr>
                <w:rFonts w:ascii="Times New Roman" w:hAnsi="Times New Roman"/>
                <w:b w:val="false"/>
                <w:i w:val="false"/>
                <w:color w:val="000000"/>
                <w:sz w:val="18"/>
                <w:vertAlign w:val="superscript"/>
              </w:rPr>
              <w:t>5</w:t>
            </w:r>
          </w:p>
        </w:tc>
        <w:tc>
          <w:tcPr>
            <w:tcW w:w="1119"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PQL</w:t>
            </w:r>
          </w:p>
          <w:p>
            <w:pPr>
              <w:spacing w:before="0" w:after="0"/>
              <w:ind w:left="160"/>
              <w:jc w:val="center"/>
            </w:pPr>
            <w:r>
              <w:rPr>
                <w:rFonts w:ascii="Times New Roman" w:hAnsi="Times New Roman"/>
                <w:b w:val="false"/>
                <w:i w:val="false"/>
                <w:color w:val="000000"/>
                <w:sz w:val="21"/>
              </w:rPr>
              <w:t>(μg/L)</w:t>
            </w:r>
            <w:r>
              <w:rPr>
                <w:rFonts w:ascii="Times New Roman" w:hAnsi="Times New Roman"/>
                <w:b w:val="false"/>
                <w:i w:val="false"/>
                <w:color w:val="000000"/>
                <w:sz w:val="18"/>
                <w:vertAlign w:val="superscript"/>
              </w:rPr>
              <w:t>6</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Acenaphthene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83-32-9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Acenaphthylene, 1,2-dihydro-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Acenaphthylene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208-96-8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Acenaphthylene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Acetone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67-64-1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2-Propanone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Acetonitrile; Methyl cyanide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75-05-8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Acetonitrile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8015</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Acetophenone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98-86-2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Ethanone, 1-phenyl-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2-Acetylaminofluorene; 2-AAF</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53-96-3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Acetamide, N-9H-fluoren-2-yl-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Acrolein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107-02-8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2-Propenal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8030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Acrylonitrile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107-13-1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2-Propenenitrile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8030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200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0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Aldrin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309-00-2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1,4:5,8-Dimethanonaphthalene,</w:t>
            </w:r>
          </w:p>
          <w:p>
            <w:pPr>
              <w:spacing w:before="0" w:after="0"/>
              <w:ind w:left="160"/>
              <w:jc w:val="left"/>
            </w:pPr>
            <w:r>
              <w:rPr>
                <w:rFonts w:ascii="Times New Roman" w:hAnsi="Times New Roman"/>
                <w:b w:val="false"/>
                <w:i w:val="false"/>
                <w:color w:val="000000"/>
                <w:sz w:val="18"/>
              </w:rPr>
              <w:t>1,2,3,4, 10,10-hexachloro-</w:t>
            </w:r>
          </w:p>
          <w:p>
            <w:pPr>
              <w:spacing w:before="0" w:after="0"/>
              <w:ind w:left="160"/>
              <w:jc w:val="left"/>
            </w:pPr>
            <w:r>
              <w:rPr>
                <w:rFonts w:ascii="Times New Roman" w:hAnsi="Times New Roman"/>
                <w:b w:val="false"/>
                <w:i w:val="false"/>
                <w:color w:val="000000"/>
                <w:sz w:val="18"/>
              </w:rPr>
              <w:t>1,4,4a,5,8,8a-</w:t>
            </w:r>
          </w:p>
          <w:p>
            <w:pPr>
              <w:spacing w:before="0" w:after="0"/>
              <w:ind w:left="160"/>
              <w:jc w:val="left"/>
            </w:pPr>
            <w:r>
              <w:rPr>
                <w:rFonts w:ascii="Times New Roman" w:hAnsi="Times New Roman"/>
                <w:b w:val="false"/>
                <w:i w:val="false"/>
                <w:color w:val="000000"/>
                <w:sz w:val="18"/>
              </w:rPr>
              <w:t>hexahydro-</w:t>
            </w:r>
          </w:p>
          <w:p>
            <w:pPr>
              <w:spacing w:before="0" w:after="0"/>
              <w:ind w:left="160"/>
              <w:jc w:val="left"/>
            </w:pPr>
            <w:r>
              <w:rPr>
                <w:rFonts w:ascii="Times New Roman" w:hAnsi="Times New Roman"/>
                <w:b w:val="false"/>
                <w:i w:val="false"/>
                <w:color w:val="000000"/>
                <w:sz w:val="18"/>
              </w:rPr>
              <w:t>(1α,4α,4aβ,5α,8α,8aβ)-</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Allyl 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107-05-1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1-Propene, 3-chloro-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8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4-Aminobiphenyl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92-67-1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-Biphenyl]-4-amine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Anthracene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120-12-7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Anthracene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7040</w:t>
            </w:r>
          </w:p>
          <w:p>
            <w:pPr>
              <w:spacing w:before="0" w:after="0"/>
              <w:ind w:left="160"/>
              <w:jc w:val="left"/>
            </w:pPr>
            <w:r>
              <w:rPr>
                <w:rFonts w:ascii="Times New Roman" w:hAnsi="Times New Roman"/>
                <w:b w:val="false"/>
                <w:i w:val="false"/>
                <w:color w:val="000000"/>
                <w:sz w:val="18"/>
              </w:rPr>
              <w:t>7041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300</w:t>
            </w:r>
          </w:p>
          <w:p>
            <w:pPr>
              <w:spacing w:before="0" w:after="0"/>
              <w:ind w:left="160"/>
              <w:jc w:val="left"/>
            </w:pPr>
            <w:r>
              <w:rPr>
                <w:rFonts w:ascii="Times New Roman" w:hAnsi="Times New Roman"/>
                <w:b w:val="false"/>
                <w:i w:val="false"/>
                <w:color w:val="000000"/>
                <w:sz w:val="18"/>
              </w:rPr>
              <w:t>2000</w:t>
            </w:r>
          </w:p>
          <w:p>
            <w:pPr>
              <w:spacing w:before="0" w:after="0"/>
              <w:ind w:left="160"/>
              <w:jc w:val="left"/>
            </w:pPr>
            <w:r>
              <w:rPr>
                <w:rFonts w:ascii="Times New Roman" w:hAnsi="Times New Roman"/>
                <w:b w:val="false"/>
                <w:i w:val="false"/>
                <w:color w:val="000000"/>
                <w:sz w:val="18"/>
              </w:rPr>
              <w:t>30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7060</w:t>
            </w:r>
          </w:p>
          <w:p>
            <w:pPr>
              <w:spacing w:before="0" w:after="0"/>
              <w:ind w:left="160"/>
              <w:jc w:val="left"/>
            </w:pPr>
            <w:r>
              <w:rPr>
                <w:rFonts w:ascii="Times New Roman" w:hAnsi="Times New Roman"/>
                <w:b w:val="false"/>
                <w:i w:val="false"/>
                <w:color w:val="000000"/>
                <w:sz w:val="18"/>
              </w:rPr>
              <w:t>7061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500</w:t>
            </w:r>
          </w:p>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7080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w:t>
            </w:r>
          </w:p>
          <w:p>
            <w:pPr>
              <w:spacing w:before="0" w:after="0"/>
              <w:ind w:left="160"/>
              <w:jc w:val="left"/>
            </w:pPr>
            <w:r>
              <w:rPr>
                <w:rFonts w:ascii="Times New Roman" w:hAnsi="Times New Roman"/>
                <w:b w:val="false"/>
                <w:i w:val="false"/>
                <w:color w:val="000000"/>
                <w:sz w:val="18"/>
              </w:rPr>
              <w:t>1000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4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71-43-2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Benzo[a]anthracene;</w:t>
            </w:r>
          </w:p>
          <w:p>
            <w:pPr>
              <w:spacing w:before="0" w:after="0"/>
              <w:ind w:left="160"/>
              <w:jc w:val="left"/>
            </w:pPr>
            <w:r>
              <w:rPr>
                <w:rFonts w:ascii="Arial Unicode MS" w:hAnsi="Arial Unicode MS"/>
                <w:b w:val="false"/>
                <w:i w:val="false"/>
                <w:color w:val="000000"/>
                <w:sz w:val="18"/>
              </w:rPr>
              <w:t> Benzanthracene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56-55-3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Benz[a]anthracene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Benzo[b]fluoranthene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205-99-2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Benz[e]acephenanthrylene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Benzo[k]fluoranthene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207-08-9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Benzo[k]fluoranthene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Benzo[ghi]perylene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191-24-2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Benzo[ghi]perylene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Benzo[a]pyrene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50-32-8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Benzo[a]pyrene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Benzyl alcohol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100-51-6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Benzenemethanol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Beryllium</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Beryllium</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7090</w:t>
            </w:r>
          </w:p>
          <w:p>
            <w:pPr>
              <w:spacing w:before="0" w:after="0"/>
              <w:ind w:left="160"/>
              <w:jc w:val="left"/>
            </w:pPr>
            <w:r>
              <w:rPr>
                <w:rFonts w:ascii="Times New Roman" w:hAnsi="Times New Roman"/>
                <w:b w:val="false"/>
                <w:i w:val="false"/>
                <w:color w:val="000000"/>
                <w:sz w:val="18"/>
              </w:rPr>
              <w:t>7091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w:t>
            </w:r>
          </w:p>
          <w:p>
            <w:pPr>
              <w:spacing w:before="0" w:after="0"/>
              <w:ind w:left="160"/>
              <w:jc w:val="left"/>
            </w:pPr>
            <w:r>
              <w:rPr>
                <w:rFonts w:ascii="Times New Roman" w:hAnsi="Times New Roman"/>
                <w:b w:val="false"/>
                <w:i w:val="false"/>
                <w:color w:val="000000"/>
                <w:sz w:val="18"/>
              </w:rPr>
              <w:t>50</w:t>
            </w:r>
          </w:p>
          <w:p>
            <w:pPr>
              <w:spacing w:before="0" w:after="0"/>
              <w:ind w:left="160"/>
              <w:jc w:val="left"/>
            </w:pPr>
            <w:r>
              <w:rPr>
                <w:rFonts w:ascii="Times New Roman" w:hAnsi="Times New Roman"/>
                <w:b w:val="false"/>
                <w:i w:val="false"/>
                <w:color w:val="000000"/>
                <w:sz w:val="18"/>
              </w:rPr>
              <w:t>2</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alpha-BHC</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319-84-6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Cyclohexane, 1,2,3,4,5,6-</w:t>
            </w:r>
          </w:p>
          <w:p>
            <w:pPr>
              <w:spacing w:before="0" w:after="0"/>
              <w:ind w:left="160"/>
              <w:jc w:val="left"/>
            </w:pPr>
            <w:r>
              <w:rPr>
                <w:rFonts w:ascii="Times New Roman" w:hAnsi="Times New Roman"/>
                <w:b w:val="false"/>
                <w:i w:val="false"/>
                <w:color w:val="000000"/>
                <w:sz w:val="18"/>
              </w:rPr>
              <w:t>hexachloro-,</w:t>
            </w:r>
          </w:p>
          <w:p>
            <w:pPr>
              <w:spacing w:before="0" w:after="0"/>
              <w:ind w:left="160"/>
              <w:jc w:val="left"/>
            </w:pPr>
            <w:r>
              <w:rPr>
                <w:rFonts w:ascii="Times New Roman" w:hAnsi="Times New Roman"/>
                <w:b w:val="false"/>
                <w:i w:val="false"/>
                <w:color w:val="000000"/>
                <w:sz w:val="18"/>
              </w:rPr>
              <w:t>(1α,2α,3β,4α,5β,6β)-</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beta-BHC</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319-85-7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Cyclohexane, 1,2,3,4,5,6-</w:t>
            </w:r>
          </w:p>
          <w:p>
            <w:pPr>
              <w:spacing w:before="0" w:after="0"/>
              <w:ind w:left="160"/>
              <w:jc w:val="left"/>
            </w:pPr>
            <w:r>
              <w:rPr>
                <w:rFonts w:ascii="Times New Roman" w:hAnsi="Times New Roman"/>
                <w:b w:val="false"/>
                <w:i w:val="false"/>
                <w:color w:val="000000"/>
                <w:sz w:val="18"/>
              </w:rPr>
              <w:t>hexachloro-,</w:t>
            </w:r>
          </w:p>
          <w:p>
            <w:pPr>
              <w:spacing w:before="0" w:after="0"/>
              <w:ind w:left="160"/>
              <w:jc w:val="left"/>
            </w:pPr>
            <w:r>
              <w:rPr>
                <w:rFonts w:ascii="Times New Roman" w:hAnsi="Times New Roman"/>
                <w:b w:val="false"/>
                <w:i w:val="false"/>
                <w:color w:val="000000"/>
                <w:sz w:val="18"/>
              </w:rPr>
              <w:t>(1α,2β,3α,4β,5α,6β)-</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delta-BHC</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319-86-8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Cyclohexane, 1,2,3,4,5,6-</w:t>
            </w:r>
          </w:p>
          <w:p>
            <w:pPr>
              <w:spacing w:before="0" w:after="0"/>
              <w:ind w:left="160"/>
              <w:jc w:val="left"/>
            </w:pPr>
            <w:r>
              <w:rPr>
                <w:rFonts w:ascii="Times New Roman" w:hAnsi="Times New Roman"/>
                <w:b w:val="false"/>
                <w:i w:val="false"/>
                <w:color w:val="000000"/>
                <w:sz w:val="18"/>
              </w:rPr>
              <w:t>hexachloro-,</w:t>
            </w:r>
          </w:p>
          <w:p>
            <w:pPr>
              <w:spacing w:before="0" w:after="0"/>
              <w:ind w:left="160"/>
              <w:jc w:val="left"/>
            </w:pPr>
            <w:r>
              <w:rPr>
                <w:rFonts w:ascii="Times New Roman" w:hAnsi="Times New Roman"/>
                <w:b w:val="false"/>
                <w:i w:val="false"/>
                <w:color w:val="000000"/>
                <w:sz w:val="18"/>
              </w:rPr>
              <w:t>(1α,2α,3α,4β,5α,6β)-</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gamma-BHC; Lindane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58-89-9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Cyclohexane, 1,2,3,4,5,6-</w:t>
            </w:r>
          </w:p>
          <w:p>
            <w:pPr>
              <w:spacing w:before="0" w:after="0"/>
              <w:ind w:left="160"/>
              <w:jc w:val="left"/>
            </w:pPr>
            <w:r>
              <w:rPr>
                <w:rFonts w:ascii="Times New Roman" w:hAnsi="Times New Roman"/>
                <w:b w:val="false"/>
                <w:i w:val="false"/>
                <w:color w:val="000000"/>
                <w:sz w:val="18"/>
              </w:rPr>
              <w:t>hexachloro-,</w:t>
            </w:r>
          </w:p>
          <w:p>
            <w:pPr>
              <w:spacing w:before="0" w:after="0"/>
              <w:ind w:left="160"/>
              <w:jc w:val="left"/>
            </w:pPr>
            <w:r>
              <w:rPr>
                <w:rFonts w:ascii="Times New Roman" w:hAnsi="Times New Roman"/>
                <w:b w:val="false"/>
                <w:i w:val="false"/>
                <w:color w:val="000000"/>
                <w:sz w:val="18"/>
              </w:rPr>
              <w:t>(1α,2α,3β,4α,5α,6β)-</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9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Bis(2-chloroethoxy)methane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111-91-1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-[methylene bis(oxy)] bis[2-chloro-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8110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Bis(2-chloroethyl) ether;</w:t>
            </w:r>
          </w:p>
          <w:p>
            <w:pPr>
              <w:spacing w:before="0" w:after="0"/>
              <w:ind w:left="160"/>
              <w:jc w:val="left"/>
            </w:pPr>
            <w:r>
              <w:rPr>
                <w:rFonts w:ascii="Arial Unicode MS" w:hAnsi="Arial Unicode MS"/>
                <w:b w:val="false"/>
                <w:i w:val="false"/>
                <w:color w:val="000000"/>
                <w:sz w:val="18"/>
              </w:rPr>
              <w:t> Dichloroethyl ether</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111-44-4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-oxybis[2-chloro-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8110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9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Bis-(2-chloro-1-methylethyl)</w:t>
            </w:r>
          </w:p>
          <w:p>
            <w:pPr>
              <w:spacing w:before="0" w:after="0"/>
              <w:ind w:left="160"/>
              <w:jc w:val="left"/>
            </w:pPr>
            <w:r>
              <w:rPr>
                <w:rFonts w:ascii="Arial Unicode MS" w:hAnsi="Arial Unicode MS"/>
                <w:b w:val="false"/>
                <w:i w:val="false"/>
                <w:color w:val="000000"/>
                <w:sz w:val="18"/>
              </w:rPr>
              <w:t> ether; 2,2</w:t>
            </w:r>
            <w:r>
              <w:rPr>
                <w:rFonts w:ascii="Arial Unicode MS" w:hAnsi="Arial Unicode MS"/>
                <w:b w:val="false"/>
                <w:i w:val="false"/>
                <w:color w:val="000000"/>
                <w:sz w:val="18"/>
                <w:vertAlign w:val="superscript"/>
              </w:rPr>
              <w:t>1</w:t>
            </w:r>
            <w:r>
              <w:rPr>
                <w:rFonts w:ascii="Arial Unicode MS" w:hAnsi="Arial Unicode MS"/>
                <w:b w:val="false"/>
                <w:i w:val="false"/>
                <w:color w:val="000000"/>
                <w:sz w:val="18"/>
              </w:rPr>
              <w:t>-Dichlorodiisopropyl</w:t>
            </w:r>
          </w:p>
          <w:p>
            <w:pPr>
              <w:spacing w:before="0" w:after="0"/>
              <w:ind w:left="160"/>
              <w:jc w:val="left"/>
            </w:pPr>
            <w:r>
              <w:rPr>
                <w:rFonts w:ascii="Arial Unicode MS" w:hAnsi="Arial Unicode MS"/>
                <w:b w:val="false"/>
                <w:i w:val="false"/>
                <w:color w:val="000000"/>
                <w:sz w:val="18"/>
              </w:rPr>
              <w:t> ether; DCIP, see Note 7</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108-60-1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Propane, 2,2</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-oxybis[1-chloro-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8110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Bis(2-ethylhexyl) phthalate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117-81-7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1,2-Benzenedicarboxylic acid, bis(2-ethylhexyl)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8060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8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Bromochloromethane;</w:t>
            </w:r>
          </w:p>
          <w:p>
            <w:pPr>
              <w:spacing w:before="0" w:after="0"/>
              <w:ind w:left="160"/>
              <w:jc w:val="left"/>
            </w:pPr>
            <w:r>
              <w:rPr>
                <w:rFonts w:ascii="Arial Unicode MS" w:hAnsi="Arial Unicode MS"/>
                <w:b w:val="false"/>
                <w:i w:val="false"/>
                <w:color w:val="000000"/>
                <w:sz w:val="18"/>
              </w:rPr>
              <w:t> Chlorobromomethane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74-97-5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bromochloro-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Bromodichloromethane;</w:t>
            </w:r>
          </w:p>
          <w:p>
            <w:pPr>
              <w:spacing w:before="0" w:after="0"/>
              <w:ind w:left="160"/>
              <w:jc w:val="left"/>
            </w:pPr>
            <w:r>
              <w:rPr>
                <w:rFonts w:ascii="Arial Unicode MS" w:hAnsi="Arial Unicode MS"/>
                <w:b w:val="false"/>
                <w:i w:val="false"/>
                <w:color w:val="000000"/>
                <w:sz w:val="18"/>
              </w:rPr>
              <w:t> Dibromochloromethane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75-27-4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bromodichloro-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Bromoform; Tribromomethane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75-25-2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tribromo-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15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4-Bromophenyl phenyl ether</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101-55-3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1-bromo-4-phenoxy-</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8110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Butyl benzyl phthalate; Benzyl</w:t>
            </w:r>
          </w:p>
          <w:p>
            <w:pPr>
              <w:spacing w:before="0" w:after="0"/>
              <w:ind w:left="232"/>
              <w:jc w:val="left"/>
            </w:pPr>
            <w:r>
              <w:rPr>
                <w:rFonts w:ascii="Times New Roman" w:hAnsi="Times New Roman"/>
                <w:b w:val="false"/>
                <w:i w:val="false"/>
                <w:color w:val="000000"/>
                <w:sz w:val="18"/>
              </w:rPr>
              <w:t>butyl phthalate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85-68-7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1,2-Benzenedicarboxylic acid, butyl</w:t>
            </w:r>
          </w:p>
          <w:p>
            <w:pPr>
              <w:spacing w:before="0" w:after="0"/>
              <w:ind w:left="160"/>
              <w:jc w:val="left"/>
            </w:pPr>
            <w:r>
              <w:rPr>
                <w:rFonts w:ascii="Times New Roman" w:hAnsi="Times New Roman"/>
                <w:b w:val="false"/>
                <w:i w:val="false"/>
                <w:color w:val="000000"/>
                <w:sz w:val="18"/>
              </w:rPr>
              <w:t>phenylmethyl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7130</w:t>
            </w:r>
          </w:p>
          <w:p>
            <w:pPr>
              <w:spacing w:before="0" w:after="0"/>
              <w:ind w:left="160"/>
              <w:jc w:val="left"/>
            </w:pPr>
            <w:r>
              <w:rPr>
                <w:rFonts w:ascii="Times New Roman" w:hAnsi="Times New Roman"/>
                <w:b w:val="false"/>
                <w:i w:val="false"/>
                <w:color w:val="000000"/>
                <w:sz w:val="18"/>
              </w:rPr>
              <w:t>7131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w:t>
            </w:r>
          </w:p>
          <w:p>
            <w:pPr>
              <w:spacing w:before="0" w:after="0"/>
              <w:ind w:left="160"/>
              <w:jc w:val="left"/>
            </w:pPr>
            <w:r>
              <w:rPr>
                <w:rFonts w:ascii="Times New Roman" w:hAnsi="Times New Roman"/>
                <w:b w:val="false"/>
                <w:i w:val="false"/>
                <w:color w:val="000000"/>
                <w:sz w:val="18"/>
              </w:rPr>
              <w:t>50</w:t>
            </w:r>
          </w:p>
          <w:p>
            <w:pPr>
              <w:spacing w:before="0" w:after="0"/>
              <w:ind w:left="160"/>
              <w:jc w:val="left"/>
            </w:pPr>
            <w:r>
              <w:rPr>
                <w:rFonts w:ascii="Times New Roman" w:hAnsi="Times New Roman"/>
                <w:b w:val="false"/>
                <w:i w:val="false"/>
                <w:color w:val="000000"/>
                <w:sz w:val="18"/>
              </w:rPr>
              <w:t>1</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 disulfide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75-15-0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 disulfide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 tetrachloride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56-23-5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tetrachloro-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Chlordane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See Note 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4,7-Methano-1H-</w:t>
            </w:r>
          </w:p>
          <w:p>
            <w:pPr>
              <w:spacing w:before="0" w:after="0"/>
              <w:ind w:left="160"/>
              <w:jc w:val="left"/>
            </w:pPr>
            <w:r>
              <w:rPr>
                <w:rFonts w:ascii="Times New Roman" w:hAnsi="Times New Roman"/>
                <w:b w:val="false"/>
                <w:i w:val="false"/>
                <w:color w:val="000000"/>
                <w:sz w:val="18"/>
              </w:rPr>
              <w:t>indene,1,2,4,5,6,7,8,</w:t>
            </w:r>
          </w:p>
          <w:p>
            <w:pPr>
              <w:spacing w:before="0" w:after="0"/>
              <w:ind w:left="160"/>
              <w:jc w:val="left"/>
            </w:pPr>
            <w:r>
              <w:rPr>
                <w:rFonts w:ascii="Times New Roman" w:hAnsi="Times New Roman"/>
                <w:b w:val="false"/>
                <w:i w:val="false"/>
                <w:color w:val="000000"/>
                <w:sz w:val="18"/>
              </w:rPr>
              <w:t>8-octachloro-2,3,3a,4,7,7a-</w:t>
            </w:r>
          </w:p>
          <w:p>
            <w:pPr>
              <w:spacing w:before="0" w:after="0"/>
              <w:ind w:left="160"/>
              <w:jc w:val="left"/>
            </w:pPr>
            <w:r>
              <w:rPr>
                <w:rFonts w:ascii="Times New Roman" w:hAnsi="Times New Roman"/>
                <w:b w:val="false"/>
                <w:i w:val="false"/>
                <w:color w:val="000000"/>
                <w:sz w:val="18"/>
              </w:rPr>
              <w:t>hexahydro-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p-Chloroaniline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106-47-8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Benzenamine, 4-chloro-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108-90-7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Chlorobenzilate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510-15-6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Benzeneacetic acid, 4-chlor-α-</w:t>
            </w:r>
          </w:p>
          <w:p>
            <w:pPr>
              <w:spacing w:before="0" w:after="0"/>
              <w:ind w:left="160"/>
              <w:jc w:val="left"/>
            </w:pPr>
            <w:r>
              <w:rPr>
                <w:rFonts w:ascii="Times New Roman" w:hAnsi="Times New Roman"/>
                <w:b w:val="false"/>
                <w:i w:val="false"/>
                <w:color w:val="000000"/>
                <w:sz w:val="18"/>
              </w:rPr>
              <w:t>(4- chlorophenyl)-α-hydroxy-,</w:t>
            </w:r>
          </w:p>
          <w:p>
            <w:pPr>
              <w:spacing w:before="0" w:after="0"/>
              <w:ind w:left="160"/>
              <w:jc w:val="left"/>
            </w:pPr>
            <w:r>
              <w:rPr>
                <w:rFonts w:ascii="Times New Roman" w:hAnsi="Times New Roman"/>
                <w:b w:val="false"/>
                <w:i w:val="false"/>
                <w:color w:val="000000"/>
                <w:sz w:val="18"/>
              </w:rPr>
              <w:t>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p-Chloro-m-cresol; 4-Chloro-</w:t>
            </w:r>
          </w:p>
          <w:p>
            <w:pPr>
              <w:spacing w:before="0" w:after="0"/>
              <w:ind w:left="160"/>
              <w:jc w:val="left"/>
            </w:pPr>
            <w:r>
              <w:rPr>
                <w:rFonts w:ascii="Arial Unicode MS" w:hAnsi="Arial Unicode MS"/>
                <w:b w:val="false"/>
                <w:i w:val="false"/>
                <w:color w:val="000000"/>
                <w:sz w:val="18"/>
              </w:rPr>
              <w:t> 3-methylphenol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59-50-7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4-chloro-3-methyl-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Chloroethane; Ethyl 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75-00-3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Chloroform; Trichloromethane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67-66-3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trichloro-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6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2-Chloronaphthalene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91-58-7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Naphthalene, 2-chloro-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2-Chlorophenol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95-57-8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4-Chlorophenyl phenyl ether</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7005-72-3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Benzene, 1-chloro-4-</w:t>
            </w:r>
          </w:p>
          <w:p>
            <w:pPr>
              <w:spacing w:before="0" w:after="0"/>
              <w:ind w:left="160"/>
              <w:jc w:val="left"/>
            </w:pPr>
            <w:r>
              <w:rPr>
                <w:rFonts w:ascii="Times New Roman" w:hAnsi="Times New Roman"/>
                <w:b w:val="false"/>
                <w:i w:val="false"/>
                <w:color w:val="000000"/>
                <w:sz w:val="18"/>
              </w:rPr>
              <w:t>phenoxy-</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8110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Chloroprene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126-99-8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1,3-Butadiene, 2-chloro-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50</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Chromium</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Chromium</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7190</w:t>
            </w:r>
          </w:p>
          <w:p>
            <w:pPr>
              <w:spacing w:before="0" w:after="0"/>
              <w:ind w:left="160"/>
              <w:jc w:val="left"/>
            </w:pPr>
            <w:r>
              <w:rPr>
                <w:rFonts w:ascii="Times New Roman" w:hAnsi="Times New Roman"/>
                <w:b w:val="false"/>
                <w:i w:val="false"/>
                <w:color w:val="000000"/>
                <w:sz w:val="18"/>
              </w:rPr>
              <w:t>7191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70</w:t>
            </w:r>
          </w:p>
          <w:p>
            <w:pPr>
              <w:spacing w:before="0" w:after="0"/>
              <w:ind w:left="160"/>
              <w:jc w:val="left"/>
            </w:pPr>
            <w:r>
              <w:rPr>
                <w:rFonts w:ascii="Times New Roman" w:hAnsi="Times New Roman"/>
                <w:b w:val="false"/>
                <w:i w:val="false"/>
                <w:color w:val="000000"/>
                <w:sz w:val="18"/>
              </w:rPr>
              <w:t>500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Chrysene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218-01-9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Chrysene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7200</w:t>
            </w:r>
          </w:p>
          <w:p>
            <w:pPr>
              <w:spacing w:before="0" w:after="0"/>
              <w:ind w:left="160"/>
              <w:jc w:val="left"/>
            </w:pPr>
            <w:r>
              <w:rPr>
                <w:rFonts w:ascii="Times New Roman" w:hAnsi="Times New Roman"/>
                <w:b w:val="false"/>
                <w:i w:val="false"/>
                <w:color w:val="000000"/>
                <w:sz w:val="18"/>
              </w:rPr>
              <w:t>7201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70</w:t>
            </w:r>
          </w:p>
          <w:p>
            <w:pPr>
              <w:spacing w:before="0" w:after="0"/>
              <w:ind w:left="160"/>
              <w:jc w:val="left"/>
            </w:pPr>
            <w:r>
              <w:rPr>
                <w:rFonts w:ascii="Times New Roman" w:hAnsi="Times New Roman"/>
                <w:b w:val="false"/>
                <w:i w:val="false"/>
                <w:color w:val="000000"/>
                <w:sz w:val="18"/>
              </w:rPr>
              <w:t>500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7210</w:t>
            </w:r>
          </w:p>
          <w:p>
            <w:pPr>
              <w:spacing w:before="0" w:after="0"/>
              <w:ind w:left="160"/>
              <w:jc w:val="left"/>
            </w:pPr>
            <w:r>
              <w:rPr>
                <w:rFonts w:ascii="Times New Roman" w:hAnsi="Times New Roman"/>
                <w:b w:val="false"/>
                <w:i w:val="false"/>
                <w:color w:val="000000"/>
                <w:sz w:val="18"/>
              </w:rPr>
              <w:t>7211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m-Cresol; 3-methylphenol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108-39-4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3-methyl-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o-Cresol; 2-methylphenol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95-48-7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p-Cresol; 4-methylphenol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106-44-5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4-methyl-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Cyanide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57-12-5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Cyanide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9010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2,4-D; 2,4-Dichlorophenoxyacetic</w:t>
            </w:r>
          </w:p>
          <w:p>
            <w:pPr>
              <w:spacing w:before="0" w:after="0"/>
              <w:ind w:left="160"/>
              <w:jc w:val="left"/>
            </w:pPr>
            <w:r>
              <w:rPr>
                <w:rFonts w:ascii="Arial Unicode MS" w:hAnsi="Arial Unicode MS"/>
                <w:b w:val="false"/>
                <w:i w:val="false"/>
                <w:color w:val="000000"/>
                <w:sz w:val="18"/>
              </w:rPr>
              <w:t> acid</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94-75-7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Acetic acid, (2,4-</w:t>
            </w:r>
          </w:p>
          <w:p>
            <w:pPr>
              <w:spacing w:before="0" w:after="0"/>
              <w:ind w:left="160"/>
              <w:jc w:val="left"/>
            </w:pPr>
            <w:r>
              <w:rPr>
                <w:rFonts w:ascii="Times New Roman" w:hAnsi="Times New Roman"/>
                <w:b w:val="false"/>
                <w:i w:val="false"/>
                <w:color w:val="000000"/>
                <w:sz w:val="18"/>
              </w:rPr>
              <w:t>dichlorophenoxy)-</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8150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9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4,4</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-DDD</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72-54-8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Benzene 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-(2,2-</w:t>
            </w:r>
          </w:p>
          <w:p>
            <w:pPr>
              <w:spacing w:before="0" w:after="0"/>
              <w:ind w:left="160"/>
              <w:jc w:val="left"/>
            </w:pPr>
            <w:r>
              <w:rPr>
                <w:rFonts w:ascii="Times New Roman" w:hAnsi="Times New Roman"/>
                <w:b w:val="false"/>
                <w:i w:val="false"/>
                <w:color w:val="000000"/>
                <w:sz w:val="18"/>
              </w:rPr>
              <w:t>dichloroethyl-idene) bis[4-</w:t>
            </w:r>
          </w:p>
          <w:p>
            <w:pPr>
              <w:spacing w:before="0" w:after="0"/>
              <w:ind w:left="160"/>
              <w:jc w:val="left"/>
            </w:pPr>
            <w:r>
              <w:rPr>
                <w:rFonts w:ascii="Times New Roman" w:hAnsi="Times New Roman"/>
                <w:b w:val="false"/>
                <w:i w:val="false"/>
                <w:color w:val="000000"/>
                <w:sz w:val="18"/>
              </w:rPr>
              <w:t>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9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4,4</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72-55-9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Benzene, 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w:t>
            </w:r>
          </w:p>
          <w:p>
            <w:pPr>
              <w:spacing w:before="0" w:after="0"/>
              <w:ind w:left="160"/>
              <w:jc w:val="left"/>
            </w:pPr>
            <w:r>
              <w:rPr>
                <w:rFonts w:ascii="Times New Roman" w:hAnsi="Times New Roman"/>
                <w:b w:val="false"/>
                <w:i w:val="false"/>
                <w:color w:val="000000"/>
                <w:sz w:val="18"/>
              </w:rPr>
              <w:t>(dichloroethyenyl-idene) bis[4-</w:t>
            </w:r>
          </w:p>
          <w:p>
            <w:pPr>
              <w:spacing w:before="0" w:after="0"/>
              <w:ind w:left="160"/>
              <w:jc w:val="left"/>
            </w:pPr>
            <w:r>
              <w:rPr>
                <w:rFonts w:ascii="Times New Roman" w:hAnsi="Times New Roman"/>
                <w:b w:val="false"/>
                <w:i w:val="false"/>
                <w:color w:val="000000"/>
                <w:sz w:val="18"/>
              </w:rPr>
              <w:t>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9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4,4</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-DDT</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50-29-3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Benzene, 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-(2,2,2-</w:t>
            </w:r>
          </w:p>
          <w:p>
            <w:pPr>
              <w:spacing w:before="0" w:after="0"/>
              <w:ind w:left="160"/>
              <w:jc w:val="left"/>
            </w:pPr>
            <w:r>
              <w:rPr>
                <w:rFonts w:ascii="Times New Roman" w:hAnsi="Times New Roman"/>
                <w:b w:val="false"/>
                <w:i w:val="false"/>
                <w:color w:val="000000"/>
                <w:sz w:val="18"/>
              </w:rPr>
              <w:t>trichloroethylidene)bis[4-</w:t>
            </w:r>
          </w:p>
          <w:p>
            <w:pPr>
              <w:spacing w:before="0" w:after="0"/>
              <w:ind w:left="160"/>
              <w:jc w:val="left"/>
            </w:pPr>
            <w:r>
              <w:rPr>
                <w:rFonts w:ascii="Times New Roman" w:hAnsi="Times New Roman"/>
                <w:b w:val="false"/>
                <w:i w:val="false"/>
                <w:color w:val="000000"/>
                <w:sz w:val="18"/>
              </w:rPr>
              <w:t>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Diallate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2303-16-4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Carbamothioic acid, bis(1-</w:t>
            </w:r>
          </w:p>
          <w:p>
            <w:pPr>
              <w:spacing w:before="0" w:after="0"/>
              <w:ind w:left="160"/>
              <w:jc w:val="left"/>
            </w:pPr>
            <w:r>
              <w:rPr>
                <w:rFonts w:ascii="Times New Roman" w:hAnsi="Times New Roman"/>
                <w:b w:val="false"/>
                <w:i w:val="false"/>
                <w:color w:val="000000"/>
                <w:sz w:val="18"/>
              </w:rPr>
              <w:t>methyl-ethyl)-, S-(2,3-</w:t>
            </w:r>
          </w:p>
          <w:p>
            <w:pPr>
              <w:spacing w:before="0" w:after="0"/>
              <w:ind w:left="160"/>
              <w:jc w:val="left"/>
            </w:pPr>
            <w:r>
              <w:rPr>
                <w:rFonts w:ascii="Times New Roman" w:hAnsi="Times New Roman"/>
                <w:b w:val="false"/>
                <w:i w:val="false"/>
                <w:color w:val="000000"/>
                <w:sz w:val="18"/>
              </w:rPr>
              <w:t>dichloro-2-propenyl)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52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Dibenz[a,h]anthracene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53-70-3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Dibenz[a,h]anthracene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Dibenzofuran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132-64-9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Dibenzofuran</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Dibromochloromethane;</w:t>
            </w:r>
          </w:p>
          <w:p>
            <w:pPr>
              <w:spacing w:before="0" w:after="0"/>
              <w:ind w:left="160"/>
              <w:jc w:val="left"/>
            </w:pPr>
            <w:r>
              <w:rPr>
                <w:rFonts w:ascii="Arial Unicode MS" w:hAnsi="Arial Unicode MS"/>
                <w:b w:val="false"/>
                <w:i w:val="false"/>
                <w:color w:val="000000"/>
                <w:sz w:val="18"/>
              </w:rPr>
              <w:t> Chlorodibromomethane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124-48-1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dibromochloro-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0.3</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1,2-Dibromo-3-chloropropane;</w:t>
            </w:r>
          </w:p>
          <w:p>
            <w:pPr>
              <w:spacing w:before="0" w:after="0"/>
              <w:ind w:left="160"/>
              <w:jc w:val="left"/>
            </w:pPr>
            <w:r>
              <w:rPr>
                <w:rFonts w:ascii="Arial Unicode MS" w:hAnsi="Arial Unicode MS"/>
                <w:b w:val="false"/>
                <w:i w:val="false"/>
                <w:color w:val="000000"/>
                <w:sz w:val="18"/>
              </w:rPr>
              <w:t> DBCP</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96-12-8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Propane, 1,2-dibrome-3-</w:t>
            </w:r>
          </w:p>
          <w:p>
            <w:pPr>
              <w:spacing w:before="0" w:after="0"/>
              <w:ind w:left="160"/>
              <w:jc w:val="left"/>
            </w:pPr>
            <w:r>
              <w:rPr>
                <w:rFonts w:ascii="Times New Roman" w:hAnsi="Times New Roman"/>
                <w:b w:val="false"/>
                <w:i w:val="false"/>
                <w:color w:val="000000"/>
                <w:sz w:val="18"/>
              </w:rPr>
              <w:t>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8011</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30</w:t>
            </w:r>
          </w:p>
          <w:p>
            <w:pPr>
              <w:spacing w:before="0" w:after="0"/>
              <w:ind w:left="160"/>
              <w:jc w:val="left"/>
            </w:pPr>
            <w:r>
              <w:rPr>
                <w:rFonts w:ascii="Times New Roman" w:hAnsi="Times New Roman"/>
                <w:b w:val="false"/>
                <w:i w:val="false"/>
                <w:color w:val="000000"/>
                <w:sz w:val="18"/>
              </w:rPr>
              <w:t>25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1,2-Dibromoethane;</w:t>
            </w:r>
          </w:p>
          <w:p>
            <w:pPr>
              <w:spacing w:before="0" w:after="0"/>
              <w:ind w:left="160"/>
              <w:jc w:val="left"/>
            </w:pPr>
            <w:r>
              <w:rPr>
                <w:rFonts w:ascii="Arial Unicode MS" w:hAnsi="Arial Unicode MS"/>
                <w:b w:val="false"/>
                <w:i w:val="false"/>
                <w:color w:val="000000"/>
                <w:sz w:val="18"/>
              </w:rPr>
              <w:t> Ethylene dibromide; EDB</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106-93-4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1,2-dibromo-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8011</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Di-n-butyl phthalate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84-74-2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1,2-Benzenedicarboxylic acid,</w:t>
            </w:r>
          </w:p>
          <w:p>
            <w:pPr>
              <w:spacing w:before="0" w:after="0"/>
              <w:ind w:left="160"/>
              <w:jc w:val="left"/>
            </w:pPr>
            <w:r>
              <w:rPr>
                <w:rFonts w:ascii="Times New Roman" w:hAnsi="Times New Roman"/>
                <w:b w:val="false"/>
                <w:i w:val="false"/>
                <w:color w:val="000000"/>
                <w:sz w:val="18"/>
              </w:rPr>
              <w:t>dibutyl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26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o-Dichlorobenzene;</w:t>
            </w:r>
          </w:p>
          <w:p>
            <w:pPr>
              <w:spacing w:before="0" w:after="0"/>
              <w:ind w:left="160"/>
              <w:jc w:val="left"/>
            </w:pPr>
            <w:r>
              <w:rPr>
                <w:rFonts w:ascii="Arial Unicode MS" w:hAnsi="Arial Unicode MS"/>
                <w:b w:val="false"/>
                <w:i w:val="false"/>
                <w:color w:val="000000"/>
                <w:sz w:val="18"/>
              </w:rPr>
              <w:t> 1,2-Dichlorobenzene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95-50-1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1,2-dichloro-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26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m-Dichlorobenzene;</w:t>
            </w:r>
          </w:p>
          <w:p>
            <w:pPr>
              <w:spacing w:before="0" w:after="0"/>
              <w:ind w:left="160"/>
              <w:jc w:val="left"/>
            </w:pPr>
            <w:r>
              <w:rPr>
                <w:rFonts w:ascii="Arial Unicode MS" w:hAnsi="Arial Unicode MS"/>
                <w:b w:val="false"/>
                <w:i w:val="false"/>
                <w:color w:val="000000"/>
                <w:sz w:val="18"/>
              </w:rPr>
              <w:t> 1,3-Dichlorobenzene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541-73-1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1,3-dichloro-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26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p-Dichlorobenzene;</w:t>
            </w:r>
          </w:p>
          <w:p>
            <w:pPr>
              <w:spacing w:before="0" w:after="0"/>
              <w:ind w:left="160"/>
              <w:jc w:val="left"/>
            </w:pPr>
            <w:r>
              <w:rPr>
                <w:rFonts w:ascii="Arial Unicode MS" w:hAnsi="Arial Unicode MS"/>
                <w:b w:val="false"/>
                <w:i w:val="false"/>
                <w:color w:val="000000"/>
                <w:sz w:val="18"/>
              </w:rPr>
              <w:t> 1,4-Dichlorobenzene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106-46-7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1,4-dichloro-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15</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9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3,3</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-Dichlorobenzidine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91-94-1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-Biphenyl]-4,4</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-diamine, 3,3</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trans-1,4-Dichloro-2-butene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110-57-6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2-Butene, 1,4-dichloro-, (E)-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Dichlorodifluoromethane;</w:t>
            </w:r>
          </w:p>
          <w:p>
            <w:pPr>
              <w:spacing w:before="0" w:after="0"/>
              <w:ind w:left="160"/>
              <w:jc w:val="left"/>
            </w:pPr>
            <w:r>
              <w:rPr>
                <w:rFonts w:ascii="Arial Unicode MS" w:hAnsi="Arial Unicode MS"/>
                <w:b w:val="false"/>
                <w:i w:val="false"/>
                <w:color w:val="000000"/>
                <w:sz w:val="18"/>
              </w:rPr>
              <w:t> CFC 12</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75-71-8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dichlorodifluoro-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1,1-Dichloroethane;</w:t>
            </w:r>
          </w:p>
          <w:p>
            <w:pPr>
              <w:spacing w:before="0" w:after="0"/>
              <w:ind w:left="160"/>
              <w:jc w:val="left"/>
            </w:pPr>
            <w:r>
              <w:rPr>
                <w:rFonts w:ascii="Arial Unicode MS" w:hAnsi="Arial Unicode MS"/>
                <w:b w:val="false"/>
                <w:i w:val="false"/>
                <w:color w:val="000000"/>
                <w:sz w:val="18"/>
              </w:rPr>
              <w:t> Ethyldidene 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75-34-3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1,1-dichloro-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4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1,2-Dichloroethane;</w:t>
            </w:r>
          </w:p>
          <w:p>
            <w:pPr>
              <w:spacing w:before="0" w:after="0"/>
              <w:ind w:left="160"/>
              <w:jc w:val="left"/>
            </w:pPr>
            <w:r>
              <w:rPr>
                <w:rFonts w:ascii="Arial Unicode MS" w:hAnsi="Arial Unicode MS"/>
                <w:b w:val="false"/>
                <w:i w:val="false"/>
                <w:color w:val="000000"/>
                <w:sz w:val="18"/>
              </w:rPr>
              <w:t> Ethylene dichloride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107-06-2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1,1-dichloro-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0.3</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1,1-Dichloroethylene;</w:t>
            </w:r>
          </w:p>
          <w:p>
            <w:pPr>
              <w:spacing w:before="0" w:after="0"/>
              <w:ind w:left="160"/>
              <w:jc w:val="left"/>
            </w:pPr>
            <w:r>
              <w:rPr>
                <w:rFonts w:ascii="Arial Unicode MS" w:hAnsi="Arial Unicode MS"/>
                <w:b w:val="false"/>
                <w:i w:val="false"/>
                <w:color w:val="000000"/>
                <w:sz w:val="18"/>
              </w:rPr>
              <w:t> 1,1-Dichloroethene;</w:t>
            </w:r>
          </w:p>
          <w:p>
            <w:pPr>
              <w:spacing w:before="0" w:after="0"/>
              <w:ind w:left="160"/>
              <w:jc w:val="left"/>
            </w:pPr>
            <w:r>
              <w:rPr>
                <w:rFonts w:ascii="Arial Unicode MS" w:hAnsi="Arial Unicode MS"/>
                <w:b w:val="false"/>
                <w:i w:val="false"/>
                <w:color w:val="000000"/>
                <w:sz w:val="18"/>
              </w:rPr>
              <w:t> Vinylidene 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75-35-4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Ethene, 1,1-dichloro-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cis-1,2-Dichloroethylene;</w:t>
            </w:r>
          </w:p>
          <w:p>
            <w:pPr>
              <w:spacing w:before="0" w:after="0"/>
              <w:ind w:left="160"/>
              <w:jc w:val="left"/>
            </w:pPr>
            <w:r>
              <w:rPr>
                <w:rFonts w:ascii="Arial Unicode MS" w:hAnsi="Arial Unicode MS"/>
                <w:b w:val="false"/>
                <w:i w:val="false"/>
                <w:color w:val="000000"/>
                <w:sz w:val="18"/>
              </w:rPr>
              <w:t> cis-1,2-Dichloroethene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156-59-2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Ethene, 1,2-dichloro-, (Z)-</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trans-1,2-Dichloroethylene;</w:t>
            </w:r>
          </w:p>
          <w:p>
            <w:pPr>
              <w:spacing w:before="0" w:after="0"/>
              <w:ind w:left="160"/>
              <w:jc w:val="left"/>
            </w:pPr>
            <w:r>
              <w:rPr>
                <w:rFonts w:ascii="Arial Unicode MS" w:hAnsi="Arial Unicode MS"/>
                <w:b w:val="false"/>
                <w:i w:val="false"/>
                <w:color w:val="000000"/>
                <w:sz w:val="18"/>
              </w:rPr>
              <w:t> trans-1,2-Dichloroethene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156-60-5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Ethene, 1,2-dichloro-, (E)-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2,4-Dichlorophenol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120-83-2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2,4-dichloro-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2,6-Dichlorophenol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87-65-0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2,6-dichloro-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1,2-Dichloropropane;</w:t>
            </w:r>
          </w:p>
          <w:p>
            <w:pPr>
              <w:spacing w:before="0" w:after="0"/>
              <w:ind w:left="160"/>
              <w:jc w:val="left"/>
            </w:pPr>
            <w:r>
              <w:rPr>
                <w:rFonts w:ascii="Arial Unicode MS" w:hAnsi="Arial Unicode MS"/>
                <w:b w:val="false"/>
                <w:i w:val="false"/>
                <w:color w:val="000000"/>
                <w:sz w:val="18"/>
              </w:rPr>
              <w:t> Propylene dichloride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78-87-5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Propane, 1,2-dichloro-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1,3-Dichloropropane;</w:t>
            </w:r>
          </w:p>
          <w:p>
            <w:pPr>
              <w:spacing w:before="0" w:after="0"/>
              <w:ind w:left="160"/>
              <w:jc w:val="left"/>
            </w:pPr>
            <w:r>
              <w:rPr>
                <w:rFonts w:ascii="Arial Unicode MS" w:hAnsi="Arial Unicode MS"/>
                <w:b w:val="false"/>
                <w:i w:val="false"/>
                <w:color w:val="000000"/>
                <w:sz w:val="18"/>
              </w:rPr>
              <w:t> Trimethylene dichloride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142-28-9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Propane, 1,3-dichloro-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0.3</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2,2-Dichloropropane;</w:t>
            </w:r>
          </w:p>
          <w:p>
            <w:pPr>
              <w:spacing w:before="0" w:after="0"/>
              <w:ind w:left="160"/>
              <w:jc w:val="left"/>
            </w:pPr>
            <w:r>
              <w:rPr>
                <w:rFonts w:ascii="Arial Unicode MS" w:hAnsi="Arial Unicode MS"/>
                <w:b w:val="false"/>
                <w:i w:val="false"/>
                <w:color w:val="000000"/>
                <w:sz w:val="18"/>
              </w:rPr>
              <w:t> Isopropylidene chloride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594-20-7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Propane, 2,2-dichloro-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1,1-Dichloropropene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563-58-6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1-Propene, 1,1-dichloro-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cis-1,3-Dichloropropene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10061-01-5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1-Propene, 1,3-dichloro-, (Z)-</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trans-1,3-Dichloropropene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10061-02-6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1-Propene, 1,3-dichloro-, (E)-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0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Dieldrin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60-57-1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2,7:3,6-Dimethanonaphth[2,3-b]</w:t>
            </w:r>
          </w:p>
          <w:p>
            <w:pPr>
              <w:spacing w:before="0" w:after="0"/>
              <w:ind w:left="160"/>
              <w:jc w:val="left"/>
            </w:pPr>
            <w:r>
              <w:rPr>
                <w:rFonts w:ascii="Times New Roman" w:hAnsi="Times New Roman"/>
                <w:b w:val="false"/>
                <w:i w:val="false"/>
                <w:color w:val="000000"/>
                <w:sz w:val="18"/>
              </w:rPr>
              <w:t>oxirene, 3,4,5,6,9,9-</w:t>
            </w:r>
          </w:p>
          <w:p>
            <w:pPr>
              <w:spacing w:before="0" w:after="0"/>
              <w:ind w:left="160"/>
              <w:jc w:val="left"/>
            </w:pPr>
            <w:r>
              <w:rPr>
                <w:rFonts w:ascii="Times New Roman" w:hAnsi="Times New Roman"/>
                <w:b w:val="false"/>
                <w:i w:val="false"/>
                <w:color w:val="000000"/>
                <w:sz w:val="18"/>
              </w:rPr>
              <w:t>hexa,chloro-1a, 2,2a,3,6,6a,7, 7a-octahydro-,(1aα, 2β,2aα,3β,6β,6aα,7β, 7aα)-</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Diethyl phthalate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84-66-2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1,2-Benzenedicarboxylic acid,</w:t>
            </w:r>
          </w:p>
          <w:p>
            <w:pPr>
              <w:spacing w:before="0" w:after="0"/>
              <w:ind w:left="160"/>
              <w:jc w:val="left"/>
            </w:pPr>
            <w:r>
              <w:rPr>
                <w:rFonts w:ascii="Times New Roman" w:hAnsi="Times New Roman"/>
                <w:b w:val="false"/>
                <w:i w:val="false"/>
                <w:color w:val="000000"/>
                <w:sz w:val="18"/>
              </w:rPr>
              <w:t>diethyl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0,0-Diethyl 0-2-pyrazinyl</w:t>
            </w:r>
          </w:p>
          <w:p>
            <w:pPr>
              <w:spacing w:before="0" w:after="0"/>
              <w:ind w:left="160"/>
              <w:jc w:val="left"/>
            </w:pPr>
            <w:r>
              <w:rPr>
                <w:rFonts w:ascii="Arial Unicode MS" w:hAnsi="Arial Unicode MS"/>
                <w:b w:val="false"/>
                <w:i w:val="false"/>
                <w:color w:val="000000"/>
                <w:sz w:val="18"/>
              </w:rPr>
              <w:t> phosphorothioate; Thionazin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297-97-2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Phosphorothioic acid, 0,0-</w:t>
            </w:r>
          </w:p>
          <w:p>
            <w:pPr>
              <w:spacing w:before="0" w:after="0"/>
              <w:ind w:left="160"/>
              <w:jc w:val="left"/>
            </w:pPr>
            <w:r>
              <w:rPr>
                <w:rFonts w:ascii="Times New Roman" w:hAnsi="Times New Roman"/>
                <w:b w:val="false"/>
                <w:i w:val="false"/>
                <w:color w:val="000000"/>
                <w:sz w:val="18"/>
              </w:rPr>
              <w:t>diethyl</w:t>
            </w:r>
          </w:p>
          <w:p>
            <w:pPr>
              <w:spacing w:before="0" w:after="0"/>
              <w:ind w:left="160"/>
              <w:jc w:val="left"/>
            </w:pPr>
            <w:r>
              <w:rPr>
                <w:rFonts w:ascii="Times New Roman" w:hAnsi="Times New Roman"/>
                <w:b w:val="false"/>
                <w:i w:val="false"/>
                <w:color w:val="000000"/>
                <w:sz w:val="18"/>
              </w:rPr>
              <w:t>0-pyrazinyl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8141</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Dimethoate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60-51-5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Phosphorodithioic acid, 0,0-</w:t>
            </w:r>
          </w:p>
          <w:p>
            <w:pPr>
              <w:spacing w:before="0" w:after="0"/>
              <w:ind w:left="160"/>
              <w:jc w:val="left"/>
            </w:pPr>
            <w:r>
              <w:rPr>
                <w:rFonts w:ascii="Times New Roman" w:hAnsi="Times New Roman"/>
                <w:b w:val="false"/>
                <w:i w:val="false"/>
                <w:color w:val="000000"/>
                <w:sz w:val="18"/>
              </w:rPr>
              <w:t>dimethyl S- [2-(methylamino)-</w:t>
            </w:r>
          </w:p>
          <w:p>
            <w:pPr>
              <w:spacing w:before="0" w:after="0"/>
              <w:ind w:left="160"/>
              <w:jc w:val="left"/>
            </w:pPr>
            <w:r>
              <w:rPr>
                <w:rFonts w:ascii="Times New Roman" w:hAnsi="Times New Roman"/>
                <w:b w:val="false"/>
                <w:i w:val="false"/>
                <w:color w:val="000000"/>
                <w:sz w:val="18"/>
              </w:rPr>
              <w:t>2-oxoethyl]</w:t>
            </w:r>
          </w:p>
          <w:p>
            <w:pPr>
              <w:spacing w:before="0" w:after="0"/>
              <w:ind w:left="160"/>
              <w:jc w:val="left"/>
            </w:pPr>
            <w:r>
              <w:rPr>
                <w:rFonts w:ascii="Times New Roman" w:hAnsi="Times New Roman"/>
                <w:b w:val="false"/>
                <w:i w:val="false"/>
                <w:color w:val="000000"/>
                <w:sz w:val="18"/>
              </w:rPr>
              <w:t>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8141</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w:t>
            </w:r>
          </w:p>
          <w:p>
            <w:pPr>
              <w:spacing w:before="0" w:after="0"/>
              <w:ind w:left="160"/>
              <w:jc w:val="left"/>
            </w:pPr>
            <w:r>
              <w:rPr>
                <w:rFonts w:ascii="Times New Roman" w:hAnsi="Times New Roman"/>
                <w:b w:val="false"/>
                <w:i w:val="false"/>
                <w:color w:val="000000"/>
                <w:sz w:val="18"/>
              </w:rPr>
              <w:t>20</w:t>
            </w:r>
          </w:p>
        </w:tc>
      </w:tr>
      <w:tr>
        <w:trPr>
          <w:trHeight w:val="40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p-(Dimethylamino)azobenzene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60-11-7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Benzenamine, N,N-dimethyl-4-</w:t>
            </w:r>
          </w:p>
          <w:p>
            <w:pPr>
              <w:spacing w:before="0" w:after="0"/>
              <w:ind w:left="160"/>
              <w:jc w:val="left"/>
            </w:pPr>
            <w:r>
              <w:rPr>
                <w:rFonts w:ascii="Times New Roman" w:hAnsi="Times New Roman"/>
                <w:b w:val="false"/>
                <w:i w:val="false"/>
                <w:color w:val="000000"/>
                <w:sz w:val="18"/>
              </w:rPr>
              <w:t>(phenylazo)-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7,12-Dimethylbenz[a]anthracene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57-97-6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Benz[a]anthracene, 7,12-</w:t>
            </w:r>
          </w:p>
          <w:p>
            <w:pPr>
              <w:spacing w:before="0" w:after="0"/>
              <w:ind w:left="160"/>
              <w:jc w:val="left"/>
            </w:pPr>
            <w:r>
              <w:rPr>
                <w:rFonts w:ascii="Times New Roman" w:hAnsi="Times New Roman"/>
                <w:b w:val="false"/>
                <w:i w:val="false"/>
                <w:color w:val="000000"/>
                <w:sz w:val="18"/>
              </w:rPr>
              <w:t>dimethyl-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9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3,3</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-Dimethylbenzidine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119-93-7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-Biphenyl]-4,4</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-diamine, 3,3</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-dimethyl-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2,4-Dimethylphenol;</w:t>
            </w:r>
          </w:p>
          <w:p>
            <w:pPr>
              <w:spacing w:before="0" w:after="0"/>
              <w:ind w:left="160"/>
              <w:jc w:val="left"/>
            </w:pPr>
            <w:r>
              <w:rPr>
                <w:rFonts w:ascii="Arial Unicode MS" w:hAnsi="Arial Unicode MS"/>
                <w:b w:val="false"/>
                <w:i w:val="false"/>
                <w:color w:val="000000"/>
                <w:sz w:val="18"/>
              </w:rPr>
              <w:t> m-Xylenol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105-67-9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2,4-dimethyl-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Dimethyl phthalate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131-11-3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1,2-Benzenedicarboxylic acid,</w:t>
            </w:r>
          </w:p>
          <w:p>
            <w:pPr>
              <w:spacing w:before="0" w:after="0"/>
              <w:ind w:left="160"/>
              <w:jc w:val="left"/>
            </w:pPr>
            <w:r>
              <w:rPr>
                <w:rFonts w:ascii="Times New Roman" w:hAnsi="Times New Roman"/>
                <w:b w:val="false"/>
                <w:i w:val="false"/>
                <w:color w:val="000000"/>
                <w:sz w:val="18"/>
              </w:rPr>
              <w:t>dimethyl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m-Dinitrobenzene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99-65-0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1,3-dinitro-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57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4,6-Dinitro-o-cresol 4,6-</w:t>
            </w:r>
          </w:p>
          <w:p>
            <w:pPr>
              <w:spacing w:before="0" w:after="0"/>
              <w:ind w:left="160"/>
              <w:jc w:val="left"/>
            </w:pPr>
            <w:r>
              <w:rPr>
                <w:rFonts w:ascii="Arial Unicode MS" w:hAnsi="Arial Unicode MS"/>
                <w:b w:val="false"/>
                <w:i w:val="false"/>
                <w:color w:val="000000"/>
                <w:sz w:val="18"/>
              </w:rPr>
              <w:t> Dinitro-2-methylphenol</w:t>
            </w:r>
          </w:p>
          <w:p>
            <w:pPr>
              <w:spacing w:before="0" w:after="0"/>
              <w:ind w:left="16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534-52-1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2-methyl-4,6-dinitro-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150</w:t>
            </w:r>
          </w:p>
          <w:p>
            <w:pPr>
              <w:spacing w:before="0" w:after="0"/>
              <w:ind w:left="16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2,4-Dinitrophenol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51-28-5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2,4-dinitro-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150</w:t>
            </w:r>
          </w:p>
          <w:p>
            <w:pPr>
              <w:spacing w:before="0" w:after="0"/>
              <w:ind w:left="16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2,4-Dinitrotoluene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121-14-2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Benzene, 1-methyl-2,4-</w:t>
            </w:r>
          </w:p>
          <w:p>
            <w:pPr>
              <w:spacing w:before="0" w:after="0"/>
              <w:ind w:left="160"/>
              <w:jc w:val="left"/>
            </w:pPr>
            <w:r>
              <w:rPr>
                <w:rFonts w:ascii="Times New Roman" w:hAnsi="Times New Roman"/>
                <w:b w:val="false"/>
                <w:i w:val="false"/>
                <w:color w:val="000000"/>
                <w:sz w:val="18"/>
              </w:rPr>
              <w:t>dinitro-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8090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2,6-Dinitrotoluene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606-20-2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Benzene, 2-methyl-1,3-</w:t>
            </w:r>
          </w:p>
          <w:p>
            <w:pPr>
              <w:spacing w:before="0" w:after="0"/>
              <w:ind w:left="160"/>
              <w:jc w:val="left"/>
            </w:pPr>
            <w:r>
              <w:rPr>
                <w:rFonts w:ascii="Times New Roman" w:hAnsi="Times New Roman"/>
                <w:b w:val="false"/>
                <w:i w:val="false"/>
                <w:color w:val="000000"/>
                <w:sz w:val="18"/>
              </w:rPr>
              <w:t>dinitro-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8090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Dinoseb; DNBP;</w:t>
            </w:r>
          </w:p>
          <w:p>
            <w:pPr>
              <w:spacing w:before="0" w:after="0"/>
              <w:ind w:left="160"/>
              <w:jc w:val="left"/>
            </w:pPr>
            <w:r>
              <w:rPr>
                <w:rFonts w:ascii="Arial Unicode MS" w:hAnsi="Arial Unicode MS"/>
                <w:b w:val="false"/>
                <w:i w:val="false"/>
                <w:color w:val="000000"/>
                <w:sz w:val="18"/>
              </w:rPr>
              <w:t> 2-sec-Butyl-4,6-</w:t>
            </w:r>
          </w:p>
          <w:p>
            <w:pPr>
              <w:spacing w:before="0" w:after="0"/>
              <w:ind w:left="160"/>
              <w:jc w:val="left"/>
            </w:pPr>
            <w:r>
              <w:rPr>
                <w:rFonts w:ascii="Arial Unicode MS" w:hAnsi="Arial Unicode MS"/>
                <w:b w:val="false"/>
                <w:i w:val="false"/>
                <w:color w:val="000000"/>
                <w:sz w:val="18"/>
              </w:rPr>
              <w:t> dinitrophenol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88-85-7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Phenol, 2-(1-methylpropyl)-</w:t>
            </w:r>
          </w:p>
          <w:p>
            <w:pPr>
              <w:spacing w:before="0" w:after="0"/>
              <w:ind w:left="160"/>
              <w:jc w:val="left"/>
            </w:pPr>
            <w:r>
              <w:rPr>
                <w:rFonts w:ascii="Times New Roman" w:hAnsi="Times New Roman"/>
                <w:b w:val="false"/>
                <w:i w:val="false"/>
                <w:color w:val="000000"/>
                <w:sz w:val="18"/>
              </w:rPr>
              <w:t>4,6-</w:t>
            </w:r>
          </w:p>
          <w:p>
            <w:pPr>
              <w:spacing w:before="0" w:after="0"/>
              <w:ind w:left="160"/>
              <w:jc w:val="left"/>
            </w:pPr>
            <w:r>
              <w:rPr>
                <w:rFonts w:ascii="Times New Roman" w:hAnsi="Times New Roman"/>
                <w:b w:val="false"/>
                <w:i w:val="false"/>
                <w:color w:val="000000"/>
                <w:sz w:val="18"/>
              </w:rPr>
              <w:t>dinitro-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8150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Di-n-octyl phthalate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117-84-0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1,2-Benzenedicarboxylic acid,</w:t>
            </w:r>
          </w:p>
          <w:p>
            <w:pPr>
              <w:spacing w:before="0" w:after="0"/>
              <w:ind w:left="160"/>
              <w:jc w:val="left"/>
            </w:pPr>
            <w:r>
              <w:rPr>
                <w:rFonts w:ascii="Times New Roman" w:hAnsi="Times New Roman"/>
                <w:b w:val="false"/>
                <w:i w:val="false"/>
                <w:color w:val="000000"/>
                <w:sz w:val="18"/>
              </w:rPr>
              <w:t>dioctyl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Diphenylamine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122-39-4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Benzenamine, N-phenyl-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Disulfoton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298-04-4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Phosphorodithioic acid, 0,0-</w:t>
            </w:r>
          </w:p>
          <w:p>
            <w:pPr>
              <w:spacing w:before="0" w:after="0"/>
              <w:ind w:left="160"/>
              <w:jc w:val="left"/>
            </w:pPr>
            <w:r>
              <w:rPr>
                <w:rFonts w:ascii="Times New Roman" w:hAnsi="Times New Roman"/>
                <w:b w:val="false"/>
                <w:i w:val="false"/>
                <w:color w:val="000000"/>
                <w:sz w:val="18"/>
              </w:rPr>
              <w:t>diethyl S-[2-(ethylthio)ethyl]</w:t>
            </w:r>
          </w:p>
          <w:p>
            <w:pPr>
              <w:spacing w:before="0" w:after="0"/>
              <w:ind w:left="160"/>
              <w:jc w:val="left"/>
            </w:pPr>
            <w:r>
              <w:rPr>
                <w:rFonts w:ascii="Times New Roman" w:hAnsi="Times New Roman"/>
                <w:b w:val="false"/>
                <w:i w:val="false"/>
                <w:color w:val="000000"/>
                <w:sz w:val="18"/>
              </w:rPr>
              <w:t>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8140</w:t>
            </w:r>
          </w:p>
          <w:p>
            <w:pPr>
              <w:spacing w:before="0" w:after="0"/>
              <w:ind w:left="160"/>
              <w:jc w:val="left"/>
            </w:pPr>
            <w:r>
              <w:rPr>
                <w:rFonts w:ascii="Times New Roman" w:hAnsi="Times New Roman"/>
                <w:b w:val="false"/>
                <w:i w:val="false"/>
                <w:color w:val="000000"/>
                <w:sz w:val="18"/>
              </w:rPr>
              <w:t>8141</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26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Endosulfan I</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959-98-8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6,9-Methano-2,4,3-</w:t>
            </w:r>
          </w:p>
          <w:p>
            <w:pPr>
              <w:spacing w:before="0" w:after="0"/>
              <w:ind w:left="160"/>
              <w:jc w:val="left"/>
            </w:pPr>
            <w:r>
              <w:rPr>
                <w:rFonts w:ascii="Times New Roman" w:hAnsi="Times New Roman"/>
                <w:b w:val="false"/>
                <w:i w:val="false"/>
                <w:color w:val="000000"/>
                <w:sz w:val="18"/>
              </w:rPr>
              <w:t>benzodioxa-</w:t>
            </w:r>
          </w:p>
          <w:p>
            <w:pPr>
              <w:spacing w:before="0" w:after="0"/>
              <w:ind w:left="160"/>
              <w:jc w:val="left"/>
            </w:pPr>
            <w:r>
              <w:rPr>
                <w:rFonts w:ascii="Times New Roman" w:hAnsi="Times New Roman"/>
                <w:b w:val="false"/>
                <w:i w:val="false"/>
                <w:color w:val="000000"/>
                <w:sz w:val="18"/>
              </w:rPr>
              <w:t>thiepin, 6,7,8,9,10,10-hexa-</w:t>
            </w:r>
          </w:p>
          <w:p>
            <w:pPr>
              <w:spacing w:before="0" w:after="0"/>
              <w:ind w:left="160"/>
              <w:jc w:val="left"/>
            </w:pPr>
            <w:r>
              <w:rPr>
                <w:rFonts w:ascii="Times New Roman" w:hAnsi="Times New Roman"/>
                <w:b w:val="false"/>
                <w:i w:val="false"/>
                <w:color w:val="000000"/>
                <w:sz w:val="18"/>
              </w:rPr>
              <w:t>chloro-</w:t>
            </w:r>
          </w:p>
          <w:p>
            <w:pPr>
              <w:spacing w:before="0" w:after="0"/>
              <w:ind w:left="160"/>
              <w:jc w:val="left"/>
            </w:pPr>
            <w:r>
              <w:rPr>
                <w:rFonts w:ascii="Times New Roman" w:hAnsi="Times New Roman"/>
                <w:b w:val="false"/>
                <w:i w:val="false"/>
                <w:color w:val="000000"/>
                <w:sz w:val="18"/>
              </w:rPr>
              <w:t>1,5,5a,6,9,9a-hexahydro-, 3-</w:t>
            </w:r>
          </w:p>
          <w:p>
            <w:pPr>
              <w:spacing w:before="0" w:after="0"/>
              <w:ind w:left="160"/>
              <w:jc w:val="left"/>
            </w:pPr>
            <w:r>
              <w:rPr>
                <w:rFonts w:ascii="Times New Roman" w:hAnsi="Times New Roman"/>
                <w:b w:val="false"/>
                <w:i w:val="false"/>
                <w:color w:val="000000"/>
                <w:sz w:val="18"/>
              </w:rPr>
              <w:t>oxide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0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Endosulfan II</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33213-65-9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6,9-Methano-2,4,3-</w:t>
            </w:r>
          </w:p>
          <w:p>
            <w:pPr>
              <w:spacing w:before="0" w:after="0"/>
              <w:ind w:left="160"/>
              <w:jc w:val="left"/>
            </w:pPr>
            <w:r>
              <w:rPr>
                <w:rFonts w:ascii="Times New Roman" w:hAnsi="Times New Roman"/>
                <w:b w:val="false"/>
                <w:i w:val="false"/>
                <w:color w:val="000000"/>
                <w:sz w:val="18"/>
              </w:rPr>
              <w:t>benzodioxa-</w:t>
            </w:r>
          </w:p>
          <w:p>
            <w:pPr>
              <w:spacing w:before="0" w:after="0"/>
              <w:ind w:left="160"/>
              <w:jc w:val="left"/>
            </w:pPr>
            <w:r>
              <w:rPr>
                <w:rFonts w:ascii="Times New Roman" w:hAnsi="Times New Roman"/>
                <w:b w:val="false"/>
                <w:i w:val="false"/>
                <w:color w:val="000000"/>
                <w:sz w:val="18"/>
              </w:rPr>
              <w:t>thiepin, 6,7,8,9,10,10-hexachloro-</w:t>
            </w:r>
          </w:p>
          <w:p>
            <w:pPr>
              <w:spacing w:before="0" w:after="0"/>
              <w:ind w:left="160"/>
              <w:jc w:val="left"/>
            </w:pPr>
            <w:r>
              <w:rPr>
                <w:rFonts w:ascii="Times New Roman" w:hAnsi="Times New Roman"/>
                <w:b w:val="false"/>
                <w:i w:val="false"/>
                <w:color w:val="000000"/>
                <w:sz w:val="18"/>
              </w:rPr>
              <w:t>1,5,5a,6,9,9a-hexahydro-,</w:t>
            </w:r>
          </w:p>
          <w:p>
            <w:pPr>
              <w:spacing w:before="0" w:after="0"/>
              <w:ind w:left="160"/>
              <w:jc w:val="left"/>
            </w:pPr>
            <w:r>
              <w:rPr>
                <w:rFonts w:ascii="Times New Roman" w:hAnsi="Times New Roman"/>
                <w:b w:val="false"/>
                <w:i w:val="false"/>
                <w:color w:val="000000"/>
                <w:sz w:val="18"/>
              </w:rPr>
              <w:t>3-oxide,(3α,5aα,6β,9β,9aα)-</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0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Endosulfan sulfate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1031-07-8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6,9-Methano-2,4,3-</w:t>
            </w:r>
          </w:p>
          <w:p>
            <w:pPr>
              <w:spacing w:before="0" w:after="0"/>
              <w:ind w:left="160"/>
              <w:jc w:val="left"/>
            </w:pPr>
            <w:r>
              <w:rPr>
                <w:rFonts w:ascii="Times New Roman" w:hAnsi="Times New Roman"/>
                <w:b w:val="false"/>
                <w:i w:val="false"/>
                <w:color w:val="000000"/>
                <w:sz w:val="18"/>
              </w:rPr>
              <w:t>benzodioxa-</w:t>
            </w:r>
          </w:p>
          <w:p>
            <w:pPr>
              <w:spacing w:before="0" w:after="0"/>
              <w:ind w:left="160"/>
              <w:jc w:val="left"/>
            </w:pPr>
            <w:r>
              <w:rPr>
                <w:rFonts w:ascii="Times New Roman" w:hAnsi="Times New Roman"/>
                <w:b w:val="false"/>
                <w:i w:val="false"/>
                <w:color w:val="000000"/>
                <w:sz w:val="18"/>
              </w:rPr>
              <w:t>thiepin, 6,7,8,9,10,10-hexachloro-</w:t>
            </w:r>
          </w:p>
          <w:p>
            <w:pPr>
              <w:spacing w:before="0" w:after="0"/>
              <w:ind w:left="160"/>
              <w:jc w:val="left"/>
            </w:pPr>
            <w:r>
              <w:rPr>
                <w:rFonts w:ascii="Times New Roman" w:hAnsi="Times New Roman"/>
                <w:b w:val="false"/>
                <w:i w:val="false"/>
                <w:color w:val="000000"/>
                <w:sz w:val="18"/>
              </w:rPr>
              <w:t>1,5,5a,6,9,9a-hexahydro-, 3-3-</w:t>
            </w:r>
          </w:p>
          <w:p>
            <w:pPr>
              <w:spacing w:before="0" w:after="0"/>
              <w:ind w:left="160"/>
              <w:jc w:val="left"/>
            </w:pPr>
            <w:r>
              <w:rPr>
                <w:rFonts w:ascii="Times New Roman" w:hAnsi="Times New Roman"/>
                <w:b w:val="false"/>
                <w:i w:val="false"/>
                <w:color w:val="000000"/>
                <w:sz w:val="18"/>
              </w:rPr>
              <w:t>dioxide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0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Endrin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72-20-8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2,7:3,6-Dimethanonaphth[2,3-b]</w:t>
            </w:r>
          </w:p>
          <w:p>
            <w:pPr>
              <w:spacing w:before="0" w:after="0"/>
              <w:ind w:left="160"/>
              <w:jc w:val="left"/>
            </w:pPr>
            <w:r>
              <w:rPr>
                <w:rFonts w:ascii="Times New Roman" w:hAnsi="Times New Roman"/>
                <w:b w:val="false"/>
                <w:i w:val="false"/>
                <w:color w:val="000000"/>
                <w:sz w:val="18"/>
              </w:rPr>
              <w:t>oxirene, 3,4,5,6,9,9-</w:t>
            </w:r>
          </w:p>
          <w:p>
            <w:pPr>
              <w:spacing w:before="0" w:after="0"/>
              <w:ind w:left="160"/>
              <w:jc w:val="left"/>
            </w:pPr>
            <w:r>
              <w:rPr>
                <w:rFonts w:ascii="Times New Roman" w:hAnsi="Times New Roman"/>
                <w:b w:val="false"/>
                <w:i w:val="false"/>
                <w:color w:val="000000"/>
                <w:sz w:val="18"/>
              </w:rPr>
              <w:t>hexachloro-</w:t>
            </w:r>
          </w:p>
          <w:p>
            <w:pPr>
              <w:spacing w:before="0" w:after="0"/>
              <w:ind w:left="160"/>
              <w:jc w:val="left"/>
            </w:pPr>
            <w:r>
              <w:rPr>
                <w:rFonts w:ascii="Times New Roman" w:hAnsi="Times New Roman"/>
                <w:b w:val="false"/>
                <w:i w:val="false"/>
                <w:color w:val="000000"/>
                <w:sz w:val="18"/>
              </w:rPr>
              <w:t>1a,2,2a,3,6,6a, 7,7a-octahydro-,</w:t>
            </w:r>
          </w:p>
          <w:p>
            <w:pPr>
              <w:spacing w:before="0" w:after="0"/>
              <w:ind w:left="160"/>
              <w:jc w:val="left"/>
            </w:pPr>
            <w:r>
              <w:rPr>
                <w:rFonts w:ascii="Times New Roman" w:hAnsi="Times New Roman"/>
                <w:b w:val="false"/>
                <w:i w:val="false"/>
                <w:color w:val="000000"/>
                <w:sz w:val="18"/>
              </w:rPr>
              <w:t>(1aα,2β,2aβ,3α,6α, 6aβ,7β,7aα)-</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26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Endrin aldehyde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7421-93-4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1,2,4-</w:t>
            </w:r>
          </w:p>
          <w:p>
            <w:pPr>
              <w:spacing w:before="0" w:after="0"/>
              <w:ind w:left="160"/>
              <w:jc w:val="left"/>
            </w:pPr>
            <w:r>
              <w:rPr>
                <w:rFonts w:ascii="Times New Roman" w:hAnsi="Times New Roman"/>
                <w:b w:val="false"/>
                <w:i w:val="false"/>
                <w:color w:val="000000"/>
                <w:sz w:val="18"/>
              </w:rPr>
              <w:t>Methenocyclopenta[cd]penta-</w:t>
            </w:r>
            <w:r>
              <w:br/>
            </w:r>
            <w:r>
              <w:rPr>
                <w:rFonts w:ascii="Times New Roman" w:hAnsi="Times New Roman"/>
                <w:b w:val="false"/>
                <w:i w:val="false"/>
                <w:color w:val="000000"/>
                <w:sz w:val="18"/>
              </w:rPr>
              <w:t>lene- 5-carboxaldehyde,2,2a,3, 3,4,7-hexachlorodecahydro-,</w:t>
            </w:r>
          </w:p>
          <w:p>
            <w:pPr>
              <w:spacing w:before="0" w:after="0"/>
              <w:ind w:left="160"/>
              <w:jc w:val="left"/>
            </w:pPr>
            <w:r>
              <w:rPr>
                <w:rFonts w:ascii="Times New Roman" w:hAnsi="Times New Roman"/>
                <w:b w:val="false"/>
                <w:i w:val="false"/>
                <w:color w:val="000000"/>
                <w:sz w:val="18"/>
              </w:rPr>
              <w:t>(1α,2β, 2aβ,4β,4aβ,5β,6aβ, 6bβ,7R)-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Ethylbenzene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100-41-4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8221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Ethyl methacrylate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97-63-2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2-Propenoic acid, 2-methyl-,</w:t>
            </w:r>
          </w:p>
          <w:p>
            <w:pPr>
              <w:spacing w:before="0" w:after="0"/>
              <w:ind w:left="160"/>
              <w:jc w:val="left"/>
            </w:pPr>
            <w:r>
              <w:rPr>
                <w:rFonts w:ascii="Times New Roman" w:hAnsi="Times New Roman"/>
                <w:b w:val="false"/>
                <w:i w:val="false"/>
                <w:color w:val="000000"/>
                <w:sz w:val="18"/>
              </w:rPr>
              <w:t>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8015</w:t>
            </w:r>
          </w:p>
          <w:p>
            <w:pPr>
              <w:spacing w:before="0" w:after="0"/>
              <w:ind w:left="160"/>
              <w:jc w:val="left"/>
            </w:pPr>
            <w:r>
              <w:rPr>
                <w:rFonts w:ascii="Times New Roman" w:hAnsi="Times New Roman"/>
                <w:b w:val="false"/>
                <w:i w:val="false"/>
                <w:color w:val="000000"/>
                <w:sz w:val="18"/>
              </w:rPr>
              <w:t>8260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Ethyl methanesulfonate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62-50-0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Methanesulfonic acid, ethyl</w:t>
            </w:r>
          </w:p>
          <w:p>
            <w:pPr>
              <w:spacing w:before="0" w:after="0"/>
              <w:ind w:left="160"/>
              <w:jc w:val="left"/>
            </w:pPr>
            <w:r>
              <w:rPr>
                <w:rFonts w:ascii="Times New Roman" w:hAnsi="Times New Roman"/>
                <w:b w:val="false"/>
                <w:i w:val="false"/>
                <w:color w:val="000000"/>
                <w:sz w:val="18"/>
              </w:rPr>
              <w:t>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Famphur</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52-85-7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Phosphorothioic acid, 0-[4-</w:t>
            </w:r>
          </w:p>
          <w:p>
            <w:pPr>
              <w:spacing w:before="0" w:after="0"/>
              <w:ind w:left="160"/>
              <w:jc w:val="left"/>
            </w:pPr>
            <w:r>
              <w:rPr>
                <w:rFonts w:ascii="Times New Roman" w:hAnsi="Times New Roman"/>
                <w:b w:val="false"/>
                <w:i w:val="false"/>
                <w:color w:val="000000"/>
                <w:sz w:val="18"/>
              </w:rPr>
              <w:t>[(dimethyl-amino)</w:t>
            </w:r>
          </w:p>
          <w:p>
            <w:pPr>
              <w:spacing w:before="0" w:after="0"/>
              <w:ind w:left="160"/>
              <w:jc w:val="left"/>
            </w:pPr>
            <w:r>
              <w:rPr>
                <w:rFonts w:ascii="Times New Roman" w:hAnsi="Times New Roman"/>
                <w:b w:val="false"/>
                <w:i w:val="false"/>
                <w:color w:val="000000"/>
                <w:sz w:val="18"/>
              </w:rPr>
              <w:t>sulfonyl]phenyl] 0,0-dimethyl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Fluoranthene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206-44-0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Fluoranthene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86-73-7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9H-Fluorene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Heptachlor</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76-44-8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4,7-Methano-1H-indene, 1,4,5,6,7, 8,8- heptachloro-</w:t>
            </w:r>
          </w:p>
          <w:p>
            <w:pPr>
              <w:spacing w:before="0" w:after="0"/>
              <w:ind w:left="160"/>
              <w:jc w:val="left"/>
            </w:pPr>
            <w:r>
              <w:rPr>
                <w:rFonts w:ascii="Times New Roman" w:hAnsi="Times New Roman"/>
                <w:b w:val="false"/>
                <w:i w:val="false"/>
                <w:color w:val="000000"/>
                <w:sz w:val="18"/>
              </w:rPr>
              <w:t>3a,4,7,</w:t>
            </w:r>
          </w:p>
          <w:p>
            <w:pPr>
              <w:spacing w:before="0" w:after="0"/>
              <w:ind w:left="160"/>
              <w:jc w:val="left"/>
            </w:pPr>
            <w:r>
              <w:rPr>
                <w:rFonts w:ascii="Times New Roman" w:hAnsi="Times New Roman"/>
                <w:b w:val="false"/>
                <w:i w:val="false"/>
                <w:color w:val="000000"/>
                <w:sz w:val="18"/>
              </w:rPr>
              <w:t>7a-tetrahydro-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0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Heptachlor epoxide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1024-57-3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2,5-Methano-2H-indeno[1,2-b]</w:t>
            </w:r>
          </w:p>
          <w:p>
            <w:pPr>
              <w:spacing w:before="0" w:after="0"/>
              <w:ind w:left="160"/>
              <w:jc w:val="left"/>
            </w:pPr>
            <w:r>
              <w:rPr>
                <w:rFonts w:ascii="Times New Roman" w:hAnsi="Times New Roman"/>
                <w:b w:val="false"/>
                <w:i w:val="false"/>
                <w:color w:val="000000"/>
                <w:sz w:val="18"/>
              </w:rPr>
              <w:t>oxirene, 2,3,4,5,6,7,7-</w:t>
            </w:r>
          </w:p>
          <w:p>
            <w:pPr>
              <w:spacing w:before="0" w:after="0"/>
              <w:ind w:left="160"/>
              <w:jc w:val="left"/>
            </w:pPr>
            <w:r>
              <w:rPr>
                <w:rFonts w:ascii="Times New Roman" w:hAnsi="Times New Roman"/>
                <w:b w:val="false"/>
                <w:i w:val="false"/>
                <w:color w:val="000000"/>
                <w:sz w:val="18"/>
              </w:rPr>
              <w:t>heptachloro-</w:t>
            </w:r>
          </w:p>
          <w:p>
            <w:pPr>
              <w:spacing w:before="0" w:after="0"/>
              <w:ind w:left="160"/>
              <w:jc w:val="left"/>
            </w:pPr>
            <w:r>
              <w:rPr>
                <w:rFonts w:ascii="Times New Roman" w:hAnsi="Times New Roman"/>
                <w:b w:val="false"/>
                <w:i w:val="false"/>
                <w:color w:val="000000"/>
                <w:sz w:val="18"/>
              </w:rPr>
              <w:t>1a,1b,5,5a,6,6a-hexahydro-, (1aα,1bβ, 2α, 5α,5aβ, 6β, 6aα)</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Hexachlorobenzene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118-74-1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hexachloro-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8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Hexachlorobutadiene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87-68-3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1,3-Butadiene, 1,1,2,3,4,</w:t>
            </w:r>
          </w:p>
          <w:p>
            <w:pPr>
              <w:spacing w:before="0" w:after="0"/>
              <w:ind w:left="160"/>
              <w:jc w:val="left"/>
            </w:pPr>
            <w:r>
              <w:rPr>
                <w:rFonts w:ascii="Times New Roman" w:hAnsi="Times New Roman"/>
                <w:b w:val="false"/>
                <w:i w:val="false"/>
                <w:color w:val="000000"/>
                <w:sz w:val="18"/>
              </w:rPr>
              <w:t>4-hexachloro-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Hexachlorocyclopentadiene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77-47-4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1,3-Cyclopentadiene,</w:t>
            </w:r>
          </w:p>
          <w:p>
            <w:pPr>
              <w:spacing w:before="0" w:after="0"/>
              <w:ind w:left="160"/>
              <w:jc w:val="left"/>
            </w:pPr>
            <w:r>
              <w:rPr>
                <w:rFonts w:ascii="Times New Roman" w:hAnsi="Times New Roman"/>
                <w:b w:val="false"/>
                <w:i w:val="false"/>
                <w:color w:val="000000"/>
                <w:sz w:val="18"/>
              </w:rPr>
              <w:t>1,2,3,4,5,5-</w:t>
            </w:r>
          </w:p>
          <w:p>
            <w:pPr>
              <w:spacing w:before="0" w:after="0"/>
              <w:ind w:left="160"/>
              <w:jc w:val="left"/>
            </w:pPr>
            <w:r>
              <w:rPr>
                <w:rFonts w:ascii="Times New Roman" w:hAnsi="Times New Roman"/>
                <w:b w:val="false"/>
                <w:i w:val="false"/>
                <w:color w:val="000000"/>
                <w:sz w:val="18"/>
              </w:rPr>
              <w:t>hexachloro-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Hexachloroethane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67-72-1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hexachloro-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Hexachloropropene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1888-71-7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1-Propene, 1,1,2,3,3,3-</w:t>
            </w:r>
          </w:p>
          <w:p>
            <w:pPr>
              <w:spacing w:before="0" w:after="0"/>
              <w:ind w:left="160"/>
              <w:jc w:val="left"/>
            </w:pPr>
            <w:r>
              <w:rPr>
                <w:rFonts w:ascii="Times New Roman" w:hAnsi="Times New Roman"/>
                <w:b w:val="false"/>
                <w:i w:val="false"/>
                <w:color w:val="000000"/>
                <w:sz w:val="18"/>
              </w:rPr>
              <w:t>hexachloro-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2-Hexanone; Methyl butyl</w:t>
            </w:r>
          </w:p>
          <w:p>
            <w:pPr>
              <w:spacing w:before="0" w:after="0"/>
              <w:ind w:left="160"/>
              <w:jc w:val="left"/>
            </w:pPr>
            <w:r>
              <w:rPr>
                <w:rFonts w:ascii="Arial Unicode MS" w:hAnsi="Arial Unicode MS"/>
                <w:b w:val="false"/>
                <w:i w:val="false"/>
                <w:color w:val="000000"/>
                <w:sz w:val="18"/>
              </w:rPr>
              <w:t> ketone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591-78-6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2-Hexanone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Indeno(1,2,3-cd)pyrene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193-39-5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Indeno(1,2,3-cd)pyrene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Isobutyl alcohol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78-83-1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1-Propanol, 2-methyl-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8015</w:t>
            </w:r>
          </w:p>
          <w:p>
            <w:pPr>
              <w:spacing w:before="0" w:after="0"/>
              <w:ind w:left="160"/>
              <w:jc w:val="left"/>
            </w:pPr>
            <w:r>
              <w:rPr>
                <w:rFonts w:ascii="Times New Roman" w:hAnsi="Times New Roman"/>
                <w:b w:val="false"/>
                <w:i w:val="false"/>
                <w:color w:val="000000"/>
                <w:sz w:val="18"/>
              </w:rPr>
              <w:t>8240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50</w:t>
            </w:r>
          </w:p>
          <w:p>
            <w:pPr>
              <w:spacing w:before="0" w:after="0"/>
              <w:ind w:left="16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26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Isodrin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465-73-6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1,4,5,8-</w:t>
            </w:r>
          </w:p>
          <w:p>
            <w:pPr>
              <w:spacing w:before="0" w:after="0"/>
              <w:ind w:left="160"/>
              <w:jc w:val="left"/>
            </w:pPr>
            <w:r>
              <w:rPr>
                <w:rFonts w:ascii="Times New Roman" w:hAnsi="Times New Roman"/>
                <w:b w:val="false"/>
                <w:i w:val="false"/>
                <w:color w:val="000000"/>
                <w:sz w:val="18"/>
              </w:rPr>
              <w:t>Dimethanonaphthalene,1,2, 3,4, 10,10- hexachloro-</w:t>
            </w:r>
          </w:p>
          <w:p>
            <w:pPr>
              <w:spacing w:before="0" w:after="0"/>
              <w:ind w:left="160"/>
              <w:jc w:val="left"/>
            </w:pPr>
            <w:r>
              <w:rPr>
                <w:rFonts w:ascii="Times New Roman" w:hAnsi="Times New Roman"/>
                <w:b w:val="false"/>
                <w:i w:val="false"/>
                <w:color w:val="000000"/>
                <w:sz w:val="18"/>
              </w:rPr>
              <w:t>1,4,4a,5,8,8a-</w:t>
            </w:r>
          </w:p>
          <w:p>
            <w:pPr>
              <w:spacing w:before="0" w:after="0"/>
              <w:ind w:left="160"/>
              <w:jc w:val="left"/>
            </w:pPr>
            <w:r>
              <w:rPr>
                <w:rFonts w:ascii="Times New Roman" w:hAnsi="Times New Roman"/>
                <w:b w:val="false"/>
                <w:i w:val="false"/>
                <w:color w:val="000000"/>
                <w:sz w:val="18"/>
              </w:rPr>
              <w:t>hexahydro-</w:t>
            </w:r>
          </w:p>
          <w:p>
            <w:pPr>
              <w:spacing w:before="0" w:after="0"/>
              <w:ind w:left="160"/>
              <w:jc w:val="left"/>
            </w:pPr>
            <w:r>
              <w:rPr>
                <w:rFonts w:ascii="Times New Roman" w:hAnsi="Times New Roman"/>
                <w:b w:val="false"/>
                <w:i w:val="false"/>
                <w:color w:val="000000"/>
                <w:sz w:val="18"/>
              </w:rPr>
              <w:t>(1α,4α,4aβ,5β,8β,8aβ)-</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8270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Isophorone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78-59-1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2-Cyclohexen-1-one, 3,5,5-</w:t>
            </w:r>
          </w:p>
          <w:p>
            <w:pPr>
              <w:spacing w:before="0" w:after="0"/>
              <w:ind w:left="160"/>
              <w:jc w:val="left"/>
            </w:pPr>
            <w:r>
              <w:rPr>
                <w:rFonts w:ascii="Times New Roman" w:hAnsi="Times New Roman"/>
                <w:b w:val="false"/>
                <w:i w:val="false"/>
                <w:color w:val="000000"/>
                <w:sz w:val="18"/>
              </w:rPr>
              <w:t>trimethyl-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8090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Isosafrole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120-58-1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1,3-Benzodioxole, 5-(1-</w:t>
            </w:r>
          </w:p>
          <w:p>
            <w:pPr>
              <w:spacing w:before="0" w:after="0"/>
              <w:ind w:left="160"/>
              <w:jc w:val="left"/>
            </w:pPr>
            <w:r>
              <w:rPr>
                <w:rFonts w:ascii="Times New Roman" w:hAnsi="Times New Roman"/>
                <w:b w:val="false"/>
                <w:i w:val="false"/>
                <w:color w:val="000000"/>
                <w:sz w:val="18"/>
              </w:rPr>
              <w:t>propenyl)-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Kepone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143-50-0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1,3,4-Metheno-2H-</w:t>
            </w:r>
          </w:p>
          <w:p>
            <w:pPr>
              <w:spacing w:before="0" w:after="0"/>
              <w:ind w:left="160"/>
              <w:jc w:val="left"/>
            </w:pPr>
            <w:r>
              <w:rPr>
                <w:rFonts w:ascii="Times New Roman" w:hAnsi="Times New Roman"/>
                <w:b w:val="false"/>
                <w:i w:val="false"/>
                <w:color w:val="000000"/>
                <w:sz w:val="18"/>
              </w:rPr>
              <w:t>cyclobuta[cd]</w:t>
            </w:r>
          </w:p>
          <w:p>
            <w:pPr>
              <w:spacing w:before="0" w:after="0"/>
              <w:ind w:left="160"/>
              <w:jc w:val="left"/>
            </w:pPr>
            <w:r>
              <w:rPr>
                <w:rFonts w:ascii="Times New Roman" w:hAnsi="Times New Roman"/>
                <w:b w:val="false"/>
                <w:i w:val="false"/>
                <w:color w:val="000000"/>
                <w:sz w:val="18"/>
              </w:rPr>
              <w:t>pentalen-2-one,1,1a,3,3a,4,5,5, 5a,5b,6-decachlorooctahydro-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Lead</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Lead</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7420</w:t>
            </w:r>
          </w:p>
          <w:p>
            <w:pPr>
              <w:spacing w:before="0" w:after="0"/>
              <w:ind w:left="160"/>
              <w:jc w:val="left"/>
            </w:pPr>
            <w:r>
              <w:rPr>
                <w:rFonts w:ascii="Times New Roman" w:hAnsi="Times New Roman"/>
                <w:b w:val="false"/>
                <w:i w:val="false"/>
                <w:color w:val="000000"/>
                <w:sz w:val="18"/>
              </w:rPr>
              <w:t>7421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400</w:t>
            </w:r>
          </w:p>
          <w:p>
            <w:pPr>
              <w:spacing w:before="0" w:after="0"/>
              <w:ind w:left="160"/>
              <w:jc w:val="left"/>
            </w:pPr>
            <w:r>
              <w:rPr>
                <w:rFonts w:ascii="Times New Roman" w:hAnsi="Times New Roman"/>
                <w:b w:val="false"/>
                <w:i w:val="false"/>
                <w:color w:val="000000"/>
                <w:sz w:val="18"/>
              </w:rPr>
              <w:t>1000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Methacrylonitrile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126-98-7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2-Propenenitrile, 2-methyl-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8015</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9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Methapyrilene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91-80-5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1,2-Ethanediamine, N.N-</w:t>
            </w:r>
          </w:p>
          <w:p>
            <w:pPr>
              <w:spacing w:before="0" w:after="0"/>
              <w:ind w:left="160"/>
              <w:jc w:val="left"/>
            </w:pPr>
            <w:r>
              <w:rPr>
                <w:rFonts w:ascii="Times New Roman" w:hAnsi="Times New Roman"/>
                <w:b w:val="false"/>
                <w:i w:val="false"/>
                <w:color w:val="000000"/>
                <w:sz w:val="18"/>
              </w:rPr>
              <w:t>dimethyl-N</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-2-pyridinyl-N1/2</w:t>
            </w:r>
          </w:p>
          <w:p>
            <w:pPr>
              <w:spacing w:before="0" w:after="0"/>
              <w:ind w:left="160"/>
              <w:jc w:val="left"/>
            </w:pPr>
            <w:r>
              <w:rPr>
                <w:rFonts w:ascii="Times New Roman" w:hAnsi="Times New Roman"/>
                <w:b w:val="false"/>
                <w:i w:val="false"/>
                <w:color w:val="000000"/>
                <w:sz w:val="18"/>
              </w:rPr>
              <w:t>-thienylmethyl)-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8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9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Methoxychlor</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72-43-5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Benzene,1,1</w:t>
            </w: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-(2,2,2,</w:t>
            </w:r>
          </w:p>
          <w:p>
            <w:pPr>
              <w:spacing w:before="0" w:after="0"/>
              <w:ind w:left="160"/>
              <w:jc w:val="left"/>
            </w:pPr>
            <w:r>
              <w:rPr>
                <w:rFonts w:ascii="Times New Roman" w:hAnsi="Times New Roman"/>
                <w:b w:val="false"/>
                <w:i w:val="false"/>
                <w:color w:val="000000"/>
                <w:sz w:val="18"/>
              </w:rPr>
              <w:t>trichloroethylidene)bis[4-</w:t>
            </w:r>
          </w:p>
          <w:p>
            <w:pPr>
              <w:spacing w:before="0" w:after="0"/>
              <w:ind w:left="160"/>
              <w:jc w:val="left"/>
            </w:pPr>
            <w:r>
              <w:rPr>
                <w:rFonts w:ascii="Times New Roman" w:hAnsi="Times New Roman"/>
                <w:b w:val="false"/>
                <w:i w:val="false"/>
                <w:color w:val="000000"/>
                <w:sz w:val="18"/>
              </w:rPr>
              <w:t>methoxy-</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Methyl bromide; Bromomethane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74-83-9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bromo-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Methyl chloride; Chloromethane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74-87-3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0.3</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3-Methylcholanthrene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56-49-5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Benz[j]aceanthrylene, 1,2-</w:t>
            </w:r>
          </w:p>
          <w:p>
            <w:pPr>
              <w:spacing w:before="0" w:after="0"/>
              <w:ind w:left="160"/>
              <w:jc w:val="left"/>
            </w:pPr>
            <w:r>
              <w:rPr>
                <w:rFonts w:ascii="Times New Roman" w:hAnsi="Times New Roman"/>
                <w:b w:val="false"/>
                <w:i w:val="false"/>
                <w:color w:val="000000"/>
                <w:sz w:val="18"/>
              </w:rPr>
              <w:t>dihydro- 3-methyl-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Methyl ethyl ketone; MEK; </w:t>
            </w:r>
          </w:p>
          <w:p>
            <w:pPr>
              <w:spacing w:before="0" w:after="0"/>
              <w:ind w:left="160"/>
              <w:jc w:val="left"/>
            </w:pPr>
            <w:r>
              <w:rPr>
                <w:rFonts w:ascii="Arial Unicode MS" w:hAnsi="Arial Unicode MS"/>
                <w:b w:val="false"/>
                <w:i w:val="false"/>
                <w:color w:val="000000"/>
                <w:sz w:val="18"/>
              </w:rPr>
              <w:t> 2-Butanone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78-93-3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2-Butanone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8015</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Methyl iodide; Iodomethane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74-88-4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iodo-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Methyl methacrylate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80-62-6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2-Propenoic acid, 2-methyl-, methyl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8015</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30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Methyl methanesulfonate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66-27-3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Methanesulfonic acid, methyl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2-Methylnaphthalene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91-57-6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Naphthalene, 2-methyl-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Methyl parathion;</w:t>
            </w:r>
          </w:p>
          <w:p>
            <w:pPr>
              <w:spacing w:before="0" w:after="0"/>
              <w:ind w:left="160"/>
              <w:jc w:val="left"/>
            </w:pPr>
            <w:r>
              <w:rPr>
                <w:rFonts w:ascii="Arial Unicode MS" w:hAnsi="Arial Unicode MS"/>
                <w:b w:val="false"/>
                <w:i w:val="false"/>
                <w:color w:val="000000"/>
                <w:sz w:val="18"/>
              </w:rPr>
              <w:t xml:space="preserve"> Parathion methyl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298-00-0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Phosphorothioic acid, 0,0-</w:t>
            </w:r>
          </w:p>
          <w:p>
            <w:pPr>
              <w:spacing w:before="0" w:after="0"/>
              <w:ind w:left="160"/>
              <w:jc w:val="left"/>
            </w:pPr>
            <w:r>
              <w:rPr>
                <w:rFonts w:ascii="Times New Roman" w:hAnsi="Times New Roman"/>
                <w:b w:val="false"/>
                <w:i w:val="false"/>
                <w:color w:val="000000"/>
                <w:sz w:val="18"/>
              </w:rPr>
              <w:t>dimethyl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8140</w:t>
            </w:r>
          </w:p>
          <w:p>
            <w:pPr>
              <w:spacing w:before="0" w:after="0"/>
              <w:ind w:left="160"/>
              <w:jc w:val="left"/>
            </w:pPr>
            <w:r>
              <w:rPr>
                <w:rFonts w:ascii="Times New Roman" w:hAnsi="Times New Roman"/>
                <w:b w:val="false"/>
                <w:i w:val="false"/>
                <w:color w:val="000000"/>
                <w:sz w:val="18"/>
              </w:rPr>
              <w:t>8141</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4-Methyl-2-pentanone;</w:t>
            </w:r>
          </w:p>
          <w:p>
            <w:pPr>
              <w:spacing w:before="0" w:after="0"/>
              <w:ind w:left="160"/>
              <w:jc w:val="left"/>
            </w:pPr>
            <w:r>
              <w:rPr>
                <w:rFonts w:ascii="Arial Unicode MS" w:hAnsi="Arial Unicode MS"/>
                <w:b w:val="false"/>
                <w:i w:val="false"/>
                <w:color w:val="000000"/>
                <w:sz w:val="18"/>
              </w:rPr>
              <w:t> Methyl isobutyl ketone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108-10-1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2-Pentanone, 4-methyl-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8015</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Methylene bromide;</w:t>
            </w:r>
          </w:p>
          <w:p>
            <w:pPr>
              <w:spacing w:before="0" w:after="0"/>
              <w:ind w:left="160"/>
              <w:jc w:val="left"/>
            </w:pPr>
            <w:r>
              <w:rPr>
                <w:rFonts w:ascii="Arial Unicode MS" w:hAnsi="Arial Unicode MS"/>
                <w:b w:val="false"/>
                <w:i w:val="false"/>
                <w:color w:val="000000"/>
                <w:sz w:val="18"/>
              </w:rPr>
              <w:t> Dibromomethane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74-95-3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dibromo-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15</w:t>
            </w:r>
          </w:p>
          <w:p>
            <w:pPr>
              <w:spacing w:before="0" w:after="0"/>
              <w:ind w:left="160"/>
              <w:jc w:val="left"/>
            </w:pPr>
            <w:r>
              <w:rPr>
                <w:rFonts w:ascii="Times New Roman" w:hAnsi="Times New Roman"/>
                <w:b w:val="false"/>
                <w:i w:val="false"/>
                <w:color w:val="000000"/>
                <w:sz w:val="18"/>
              </w:rPr>
              <w:t>20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Methylene chloride;</w:t>
            </w:r>
          </w:p>
          <w:p>
            <w:pPr>
              <w:spacing w:before="0" w:after="0"/>
              <w:ind w:left="160"/>
              <w:jc w:val="left"/>
            </w:pPr>
            <w:r>
              <w:rPr>
                <w:rFonts w:ascii="Arial Unicode MS" w:hAnsi="Arial Unicode MS"/>
                <w:b w:val="false"/>
                <w:i w:val="false"/>
                <w:color w:val="000000"/>
                <w:sz w:val="18"/>
              </w:rPr>
              <w:t> Dichloromethane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75-09-2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dichloro-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Naphthalene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91-20-3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Naphthalene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1,4-Naphthoquinone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130-15-4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1,4-Naphthalenedione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1-Naphthylamine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134-32-7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1-Naphthalenamine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2-Naphthylamine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91-59-8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2-Naphthalenamine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5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7520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150</w:t>
            </w:r>
          </w:p>
          <w:p>
            <w:pPr>
              <w:spacing w:before="0" w:after="0"/>
              <w:ind w:left="160"/>
              <w:jc w:val="left"/>
            </w:pPr>
            <w:r>
              <w:rPr>
                <w:rFonts w:ascii="Times New Roman" w:hAnsi="Times New Roman"/>
                <w:b w:val="false"/>
                <w:i w:val="false"/>
                <w:color w:val="000000"/>
                <w:sz w:val="18"/>
              </w:rPr>
              <w:t>400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o-Nitroaniline; 2-Nitroaniline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88-74-4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Benzenamine, 2-nitro-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m-Nitroaniline; 3-Nitroanile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99-09-2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Benzenamine, 3-nitro-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p-Nitroaniline; 4-Nitroaniline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100-01-6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Benzenamine, 4-nitro-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Nitrobenzene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98-95-3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8090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o-Nitrophenol; 2-Nitrophenol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88-75-5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p-Nitrophenol; 4-Nitrophenol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100-02-7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4-nitro-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N-Nitrosodi-n-butylamine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924-16-3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1-Butanamine, N-butyl-N-</w:t>
            </w:r>
          </w:p>
          <w:p>
            <w:pPr>
              <w:spacing w:before="0" w:after="0"/>
              <w:ind w:left="160"/>
              <w:jc w:val="left"/>
            </w:pPr>
            <w:r>
              <w:rPr>
                <w:rFonts w:ascii="Times New Roman" w:hAnsi="Times New Roman"/>
                <w:b w:val="false"/>
                <w:i w:val="false"/>
                <w:color w:val="000000"/>
                <w:sz w:val="18"/>
              </w:rPr>
              <w:t>nitroso-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N-Nitrosodiethylamine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55-18-5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Ethanamine, N-ethyl-N-</w:t>
            </w:r>
          </w:p>
          <w:p>
            <w:pPr>
              <w:spacing w:before="0" w:after="0"/>
              <w:ind w:left="160"/>
              <w:jc w:val="left"/>
            </w:pPr>
            <w:r>
              <w:rPr>
                <w:rFonts w:ascii="Times New Roman" w:hAnsi="Times New Roman"/>
                <w:b w:val="false"/>
                <w:i w:val="false"/>
                <w:color w:val="000000"/>
                <w:sz w:val="18"/>
              </w:rPr>
              <w:t>nitroso-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N-Nitrosodimethylamine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62-75-9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Methanamine, N-methyl-N-</w:t>
            </w:r>
          </w:p>
          <w:p>
            <w:pPr>
              <w:spacing w:before="0" w:after="0"/>
              <w:ind w:left="160"/>
              <w:jc w:val="left"/>
            </w:pPr>
            <w:r>
              <w:rPr>
                <w:rFonts w:ascii="Times New Roman" w:hAnsi="Times New Roman"/>
                <w:b w:val="false"/>
                <w:i w:val="false"/>
                <w:color w:val="000000"/>
                <w:sz w:val="18"/>
              </w:rPr>
              <w:t>nitroso-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N-Nitrosodiphenylamine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86-30-6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Benzenamine, N-nitroso-N-</w:t>
            </w:r>
          </w:p>
          <w:p>
            <w:pPr>
              <w:spacing w:before="0" w:after="0"/>
              <w:ind w:left="160"/>
              <w:jc w:val="left"/>
            </w:pPr>
            <w:r>
              <w:rPr>
                <w:rFonts w:ascii="Times New Roman" w:hAnsi="Times New Roman"/>
                <w:b w:val="false"/>
                <w:i w:val="false"/>
                <w:color w:val="000000"/>
                <w:sz w:val="18"/>
              </w:rPr>
              <w:t>phenyl-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N-Nitrosodipropylamine;</w:t>
            </w:r>
          </w:p>
          <w:p>
            <w:pPr>
              <w:spacing w:before="0" w:after="0"/>
              <w:ind w:left="160"/>
              <w:jc w:val="left"/>
            </w:pPr>
            <w:r>
              <w:rPr>
                <w:rFonts w:ascii="Arial Unicode MS" w:hAnsi="Arial Unicode MS"/>
                <w:b w:val="false"/>
                <w:i w:val="false"/>
                <w:color w:val="000000"/>
                <w:sz w:val="18"/>
              </w:rPr>
              <w:t> N-Nitroso-N-dipropylamine;</w:t>
            </w:r>
          </w:p>
          <w:p>
            <w:pPr>
              <w:spacing w:before="0" w:after="0"/>
              <w:ind w:left="160"/>
              <w:jc w:val="left"/>
            </w:pPr>
            <w:r>
              <w:rPr>
                <w:rFonts w:ascii="Arial Unicode MS" w:hAnsi="Arial Unicode MS"/>
                <w:b w:val="false"/>
                <w:i w:val="false"/>
                <w:color w:val="000000"/>
                <w:sz w:val="18"/>
              </w:rPr>
              <w:t> Di-n-propylnitrosamine</w:t>
            </w:r>
          </w:p>
          <w:p>
            <w:pPr>
              <w:spacing w:before="0" w:after="0"/>
              <w:ind w:left="160"/>
              <w:jc w:val="left"/>
            </w:pPr>
            <w:r>
              <w:rPr>
                <w:rFonts w:ascii="Arial Unicode MS" w:hAnsi="Arial Unicode MS"/>
                <w:b w:val="false"/>
                <w:i w:val="false"/>
                <w:color w:val="000000"/>
                <w:sz w:val="18"/>
              </w:rPr>
              <w:t> propyl-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621-64-7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1-Propanamine, N-nitroso-N-</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N-Nitrosomethylethalamine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10595-95-6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Ethanamine, N-methyl-N-</w:t>
            </w:r>
          </w:p>
          <w:p>
            <w:pPr>
              <w:spacing w:before="0" w:after="0"/>
              <w:ind w:left="160"/>
              <w:jc w:val="left"/>
            </w:pPr>
            <w:r>
              <w:rPr>
                <w:rFonts w:ascii="Times New Roman" w:hAnsi="Times New Roman"/>
                <w:b w:val="false"/>
                <w:i w:val="false"/>
                <w:color w:val="000000"/>
                <w:sz w:val="18"/>
              </w:rPr>
              <w:t>nitroso-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N-Nitrosopiperidine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100-75-4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Piperidine, 1-nitroso-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N-Nitrosopyrrolidine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930-55-2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Pyrrolidine, 1-nitroso-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5-Nitro-o-toluidine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99-55-8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Benzenamine, 2-methyl-5-nitro-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Parathion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56-38-2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Phosphorothioic acid, 0,0-</w:t>
            </w:r>
          </w:p>
          <w:p>
            <w:pPr>
              <w:spacing w:before="0" w:after="0"/>
              <w:ind w:left="160"/>
              <w:jc w:val="left"/>
            </w:pPr>
            <w:r>
              <w:rPr>
                <w:rFonts w:ascii="Times New Roman" w:hAnsi="Times New Roman"/>
                <w:b w:val="false"/>
                <w:i w:val="false"/>
                <w:color w:val="000000"/>
                <w:sz w:val="18"/>
              </w:rPr>
              <w:t>diethyl 0-</w:t>
            </w:r>
          </w:p>
          <w:p>
            <w:pPr>
              <w:spacing w:before="0" w:after="0"/>
              <w:ind w:left="160"/>
              <w:jc w:val="left"/>
            </w:pPr>
            <w:r>
              <w:rPr>
                <w:rFonts w:ascii="Times New Roman" w:hAnsi="Times New Roman"/>
                <w:b w:val="false"/>
                <w:i w:val="false"/>
                <w:color w:val="000000"/>
                <w:sz w:val="18"/>
              </w:rPr>
              <w:t>(4-nitrophenyl)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8141</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Pentachlorobenzene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608-93-5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pentachloro-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Pentachloronitrobenzene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82-68-8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pentachloronitro-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3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Pentachlorophenol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87-86-5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pentachloro-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Phenacetin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62-44-2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Acetamide, N-(4-ethoxyphenl)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Phenanthrene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85-01-8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Phenanthrene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108-95-2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8040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p-Phenylenediamine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106-50-3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1,4-Benzenediamine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Phorate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298-02-2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Phosphorodithioic acid, 0,0-</w:t>
            </w:r>
          </w:p>
          <w:p>
            <w:pPr>
              <w:spacing w:before="0" w:after="0"/>
              <w:ind w:left="160"/>
              <w:jc w:val="left"/>
            </w:pPr>
            <w:r>
              <w:rPr>
                <w:rFonts w:ascii="Times New Roman" w:hAnsi="Times New Roman"/>
                <w:b w:val="false"/>
                <w:i w:val="false"/>
                <w:color w:val="000000"/>
                <w:sz w:val="18"/>
              </w:rPr>
              <w:t>diethyl S-</w:t>
            </w:r>
          </w:p>
          <w:p>
            <w:pPr>
              <w:spacing w:before="0" w:after="0"/>
              <w:ind w:left="160"/>
              <w:jc w:val="left"/>
            </w:pPr>
            <w:r>
              <w:rPr>
                <w:rFonts w:ascii="Times New Roman" w:hAnsi="Times New Roman"/>
                <w:b w:val="false"/>
                <w:i w:val="false"/>
                <w:color w:val="000000"/>
                <w:sz w:val="18"/>
              </w:rPr>
              <w:t>[(ethylthio)methyl]ester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8140</w:t>
            </w:r>
          </w:p>
          <w:p>
            <w:pPr>
              <w:spacing w:before="0" w:after="0"/>
              <w:ind w:left="160"/>
              <w:jc w:val="left"/>
            </w:pPr>
            <w:r>
              <w:rPr>
                <w:rFonts w:ascii="Times New Roman" w:hAnsi="Times New Roman"/>
                <w:b w:val="false"/>
                <w:i w:val="false"/>
                <w:color w:val="000000"/>
                <w:sz w:val="18"/>
              </w:rPr>
              <w:t>8141</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Polychlorinated biphenyls;</w:t>
            </w:r>
          </w:p>
          <w:p>
            <w:pPr>
              <w:spacing w:before="0" w:after="0"/>
              <w:ind w:left="160"/>
              <w:jc w:val="left"/>
            </w:pPr>
            <w:r>
              <w:rPr>
                <w:rFonts w:ascii="Arial Unicode MS" w:hAnsi="Arial Unicode MS"/>
                <w:b w:val="false"/>
                <w:i w:val="false"/>
                <w:color w:val="000000"/>
                <w:sz w:val="18"/>
              </w:rPr>
              <w:t> PCBs; Aroclors</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See Note 9</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1,1[prime]-Biphenyl,</w:t>
            </w:r>
          </w:p>
          <w:p>
            <w:pPr>
              <w:spacing w:before="0" w:after="0"/>
              <w:ind w:left="160"/>
              <w:jc w:val="left"/>
            </w:pPr>
            <w:r>
              <w:rPr>
                <w:rFonts w:ascii="Times New Roman" w:hAnsi="Times New Roman"/>
                <w:b w:val="false"/>
                <w:i w:val="false"/>
                <w:color w:val="000000"/>
                <w:sz w:val="18"/>
              </w:rPr>
              <w:t>chloroderivatives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8080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50</w:t>
            </w:r>
          </w:p>
          <w:p>
            <w:pPr>
              <w:spacing w:before="0" w:after="0"/>
              <w:ind w:left="160"/>
              <w:jc w:val="left"/>
            </w:pPr>
            <w:r>
              <w:rPr>
                <w:rFonts w:ascii="Times New Roman" w:hAnsi="Times New Roman"/>
                <w:b w:val="false"/>
                <w:i w:val="false"/>
                <w:color w:val="000000"/>
                <w:sz w:val="18"/>
              </w:rPr>
              <w:t>200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Pronamide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23950-58-5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Benzamide, 3,5-dichloro-N-</w:t>
            </w:r>
          </w:p>
          <w:p>
            <w:pPr>
              <w:spacing w:before="0" w:after="0"/>
              <w:ind w:left="160"/>
              <w:jc w:val="left"/>
            </w:pPr>
            <w:r>
              <w:rPr>
                <w:rFonts w:ascii="Times New Roman" w:hAnsi="Times New Roman"/>
                <w:b w:val="false"/>
                <w:i w:val="false"/>
                <w:color w:val="000000"/>
                <w:sz w:val="18"/>
              </w:rPr>
              <w:t>(1,1-</w:t>
            </w:r>
          </w:p>
          <w:p>
            <w:pPr>
              <w:spacing w:before="0" w:after="0"/>
              <w:ind w:left="160"/>
              <w:jc w:val="left"/>
            </w:pPr>
            <w:r>
              <w:rPr>
                <w:rFonts w:ascii="Times New Roman" w:hAnsi="Times New Roman"/>
                <w:b w:val="false"/>
                <w:i w:val="false"/>
                <w:color w:val="000000"/>
                <w:sz w:val="18"/>
              </w:rPr>
              <w:t>dimethyl-2-propynyl)-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Propionitrile; Ethyl cyanide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107-12-0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Propanenitrile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8015</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p>
            <w:pPr>
              <w:spacing w:before="0" w:after="0"/>
              <w:ind w:left="160"/>
              <w:jc w:val="left"/>
            </w:pPr>
            <w:r>
              <w:rPr>
                <w:rFonts w:ascii="Times New Roman" w:hAnsi="Times New Roman"/>
                <w:b w:val="false"/>
                <w:i w:val="false"/>
                <w:color w:val="000000"/>
                <w:sz w:val="18"/>
              </w:rPr>
              <w:t>150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Pyrene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129-00-0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Pyrene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Safrole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94-59-7</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1,3-Benzodioxole, 5-(2-</w:t>
            </w:r>
          </w:p>
          <w:p>
            <w:pPr>
              <w:spacing w:before="0" w:after="0"/>
              <w:ind w:left="160"/>
              <w:jc w:val="left"/>
            </w:pPr>
            <w:r>
              <w:rPr>
                <w:rFonts w:ascii="Times New Roman" w:hAnsi="Times New Roman"/>
                <w:b w:val="false"/>
                <w:i w:val="false"/>
                <w:color w:val="000000"/>
                <w:sz w:val="18"/>
              </w:rPr>
              <w:t>propenyl)-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7740</w:t>
            </w:r>
          </w:p>
          <w:p>
            <w:pPr>
              <w:spacing w:before="0" w:after="0"/>
              <w:ind w:left="160"/>
              <w:jc w:val="left"/>
            </w:pPr>
            <w:r>
              <w:rPr>
                <w:rFonts w:ascii="Times New Roman" w:hAnsi="Times New Roman"/>
                <w:b w:val="false"/>
                <w:i w:val="false"/>
                <w:color w:val="000000"/>
                <w:sz w:val="18"/>
              </w:rPr>
              <w:t>7741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750</w:t>
            </w:r>
          </w:p>
          <w:p>
            <w:pPr>
              <w:spacing w:before="0" w:after="0"/>
              <w:ind w:left="160"/>
              <w:jc w:val="left"/>
            </w:pPr>
            <w:r>
              <w:rPr>
                <w:rFonts w:ascii="Times New Roman" w:hAnsi="Times New Roman"/>
                <w:b w:val="false"/>
                <w:i w:val="false"/>
                <w:color w:val="000000"/>
                <w:sz w:val="18"/>
              </w:rPr>
              <w:t>20</w:t>
            </w:r>
          </w:p>
          <w:p>
            <w:pPr>
              <w:spacing w:before="0" w:after="0"/>
              <w:ind w:left="160"/>
              <w:jc w:val="left"/>
            </w:pPr>
            <w:r>
              <w:rPr>
                <w:rFonts w:ascii="Times New Roman" w:hAnsi="Times New Roman"/>
                <w:b w:val="false"/>
                <w:i w:val="false"/>
                <w:color w:val="000000"/>
                <w:sz w:val="18"/>
              </w:rPr>
              <w:t>20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76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7760</w:t>
            </w:r>
          </w:p>
          <w:p>
            <w:pPr>
              <w:spacing w:before="0" w:after="0"/>
              <w:ind w:left="160"/>
              <w:jc w:val="left"/>
            </w:pPr>
            <w:r>
              <w:rPr>
                <w:rFonts w:ascii="Times New Roman" w:hAnsi="Times New Roman"/>
                <w:b w:val="false"/>
                <w:i w:val="false"/>
                <w:color w:val="000000"/>
                <w:sz w:val="18"/>
              </w:rPr>
              <w:t>7761</w:t>
            </w:r>
          </w:p>
          <w:p>
            <w:pPr>
              <w:spacing w:before="0" w:after="0"/>
              <w:ind w:left="16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70</w:t>
            </w:r>
          </w:p>
          <w:p>
            <w:pPr>
              <w:spacing w:before="0" w:after="0"/>
              <w:ind w:left="160"/>
              <w:jc w:val="left"/>
            </w:pPr>
            <w:r>
              <w:rPr>
                <w:rFonts w:ascii="Times New Roman" w:hAnsi="Times New Roman"/>
                <w:b w:val="false"/>
                <w:i w:val="false"/>
                <w:color w:val="000000"/>
                <w:sz w:val="18"/>
              </w:rPr>
              <w:t>100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Silvex; 2,4,5-TP</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93-72-1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Propanoic acid, 2-(2,4,5-</w:t>
            </w:r>
          </w:p>
          <w:p>
            <w:pPr>
              <w:spacing w:before="0" w:after="0"/>
              <w:ind w:left="160"/>
              <w:jc w:val="left"/>
            </w:pPr>
            <w:r>
              <w:rPr>
                <w:rFonts w:ascii="Times New Roman" w:hAnsi="Times New Roman"/>
                <w:b w:val="false"/>
                <w:i w:val="false"/>
                <w:color w:val="000000"/>
                <w:sz w:val="18"/>
              </w:rPr>
              <w:t>trichlorophenoxy)-</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8150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Styrene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100-42-5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ethenyl-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Sulfide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18496-25-8</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Sulfide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9030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4000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2,4,5-T; 2,4,5-</w:t>
            </w:r>
          </w:p>
          <w:p>
            <w:pPr>
              <w:spacing w:before="0" w:after="0"/>
              <w:ind w:left="160"/>
              <w:jc w:val="left"/>
            </w:pPr>
            <w:r>
              <w:rPr>
                <w:rFonts w:ascii="Arial Unicode MS" w:hAnsi="Arial Unicode MS"/>
                <w:b w:val="false"/>
                <w:i w:val="false"/>
                <w:color w:val="000000"/>
                <w:sz w:val="18"/>
              </w:rPr>
              <w:t> Trichlorophenoxyacetic</w:t>
            </w:r>
          </w:p>
          <w:p>
            <w:pPr>
              <w:spacing w:before="0" w:after="0"/>
              <w:ind w:left="160"/>
              <w:jc w:val="left"/>
            </w:pPr>
            <w:r>
              <w:rPr>
                <w:rFonts w:ascii="Arial Unicode MS" w:hAnsi="Arial Unicode MS"/>
                <w:b w:val="false"/>
                <w:i w:val="false"/>
                <w:color w:val="000000"/>
                <w:sz w:val="18"/>
              </w:rPr>
              <w:t> acid</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93-76-5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Acetic acid, (2,4,5-</w:t>
            </w:r>
          </w:p>
          <w:p>
            <w:pPr>
              <w:spacing w:before="0" w:after="0"/>
              <w:ind w:left="160"/>
              <w:jc w:val="left"/>
            </w:pPr>
            <w:r>
              <w:rPr>
                <w:rFonts w:ascii="Times New Roman" w:hAnsi="Times New Roman"/>
                <w:b w:val="false"/>
                <w:i w:val="false"/>
                <w:color w:val="000000"/>
                <w:sz w:val="18"/>
              </w:rPr>
              <w:t>trichlorophenoxy)-</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8150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33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1,2,4,5-Tetrachlorobenzene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95-94-3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1,2,4,5-tetrachloro-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1,1,1,2-Tetrachloroethane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630-20-6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1,1,1,2-tetrachloro-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0.05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1,1,2,2-Tetrachloroethane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79-34-5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1,1,2,2-tetrachloro-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Tetrachloroethylene;</w:t>
            </w:r>
          </w:p>
          <w:p>
            <w:pPr>
              <w:spacing w:before="0" w:after="0"/>
              <w:ind w:left="160"/>
              <w:jc w:val="left"/>
            </w:pPr>
            <w:r>
              <w:rPr>
                <w:rFonts w:ascii="Arial Unicode MS" w:hAnsi="Arial Unicode MS"/>
                <w:b w:val="false"/>
                <w:i w:val="false"/>
                <w:color w:val="000000"/>
                <w:sz w:val="18"/>
              </w:rPr>
              <w:t> Tetrachloroethene;</w:t>
            </w:r>
          </w:p>
          <w:p>
            <w:pPr>
              <w:spacing w:before="0" w:after="0"/>
              <w:ind w:left="160"/>
              <w:jc w:val="left"/>
            </w:pPr>
            <w:r>
              <w:rPr>
                <w:rFonts w:ascii="Arial Unicode MS" w:hAnsi="Arial Unicode MS"/>
                <w:b w:val="false"/>
                <w:i w:val="false"/>
                <w:color w:val="000000"/>
                <w:sz w:val="18"/>
              </w:rPr>
              <w:t> Perchloroethylene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127-18-4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Ethene, tetrachloro-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2,3,4,6-Tetrachlorophenol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58-90-2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2,3,4,6-tetrachloro-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7840</w:t>
            </w:r>
          </w:p>
          <w:p>
            <w:pPr>
              <w:spacing w:before="0" w:after="0"/>
              <w:ind w:left="160"/>
              <w:jc w:val="left"/>
            </w:pPr>
            <w:r>
              <w:rPr>
                <w:rFonts w:ascii="Times New Roman" w:hAnsi="Times New Roman"/>
                <w:b w:val="false"/>
                <w:i w:val="false"/>
                <w:color w:val="000000"/>
                <w:sz w:val="18"/>
              </w:rPr>
              <w:t>7841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400</w:t>
            </w:r>
          </w:p>
          <w:p>
            <w:pPr>
              <w:spacing w:before="0" w:after="0"/>
              <w:ind w:left="160"/>
              <w:jc w:val="left"/>
            </w:pPr>
            <w:r>
              <w:rPr>
                <w:rFonts w:ascii="Times New Roman" w:hAnsi="Times New Roman"/>
                <w:b w:val="false"/>
                <w:i w:val="false"/>
                <w:color w:val="000000"/>
                <w:sz w:val="18"/>
              </w:rPr>
              <w:t>1000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6010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Toluene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108-88-3</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0.1</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o-Toluidine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95-53-4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Benzenamine, 2-methyl-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Toxaphene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See Note 10</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Toxaphene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8080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1,2,4-Trichlorobenzene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120-82-1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1,2,4-trichloro-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8120</w:t>
            </w:r>
          </w:p>
          <w:p>
            <w:pPr>
              <w:spacing w:before="0" w:after="0"/>
              <w:ind w:left="160"/>
              <w:jc w:val="left"/>
            </w:pPr>
            <w:r>
              <w:rPr>
                <w:rFonts w:ascii="Times New Roman" w:hAnsi="Times New Roman"/>
                <w:b w:val="false"/>
                <w:i w:val="false"/>
                <w:color w:val="000000"/>
                <w:sz w:val="18"/>
              </w:rPr>
              <w:t>8260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0.3</w:t>
            </w:r>
          </w:p>
          <w:p>
            <w:pPr>
              <w:spacing w:before="0" w:after="0"/>
              <w:ind w:left="160"/>
              <w:jc w:val="left"/>
            </w:pPr>
            <w:r>
              <w:rPr>
                <w:rFonts w:ascii="Times New Roman" w:hAnsi="Times New Roman"/>
                <w:b w:val="false"/>
                <w:i w:val="false"/>
                <w:color w:val="000000"/>
                <w:sz w:val="18"/>
              </w:rPr>
              <w:t>0.5</w:t>
            </w:r>
          </w:p>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1,1,1-Trichloroethane;</w:t>
            </w:r>
          </w:p>
          <w:p>
            <w:pPr>
              <w:spacing w:before="0" w:after="0"/>
              <w:ind w:left="160"/>
              <w:jc w:val="left"/>
            </w:pPr>
            <w:r>
              <w:rPr>
                <w:rFonts w:ascii="Arial Unicode MS" w:hAnsi="Arial Unicode MS"/>
                <w:b w:val="false"/>
                <w:i w:val="false"/>
                <w:color w:val="000000"/>
                <w:sz w:val="18"/>
              </w:rPr>
              <w:t> Methylchloroform</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71-55-6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1,1,1-trichloro-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0.3</w:t>
            </w:r>
          </w:p>
          <w:p>
            <w:pPr>
              <w:spacing w:before="0" w:after="0"/>
              <w:ind w:left="160"/>
              <w:jc w:val="left"/>
            </w:pPr>
            <w:r>
              <w:rPr>
                <w:rFonts w:ascii="Times New Roman" w:hAnsi="Times New Roman"/>
                <w:b w:val="false"/>
                <w:i w:val="false"/>
                <w:color w:val="000000"/>
                <w:sz w:val="18"/>
              </w:rPr>
              <w:t>0.3</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1,1,2-Trichloroethane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79-00-5</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Ethane, 1,1,2-trichloro-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Trichloroethylene;</w:t>
            </w:r>
          </w:p>
          <w:p>
            <w:pPr>
              <w:spacing w:before="0" w:after="0"/>
              <w:ind w:left="160"/>
              <w:jc w:val="left"/>
            </w:pPr>
            <w:r>
              <w:rPr>
                <w:rFonts w:ascii="Arial Unicode MS" w:hAnsi="Arial Unicode MS"/>
                <w:b w:val="false"/>
                <w:i w:val="false"/>
                <w:color w:val="000000"/>
                <w:sz w:val="18"/>
              </w:rPr>
              <w:t> Trichloroethene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79-01-6</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Ethene, trichloro-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Trichlorofluoromethane;</w:t>
            </w:r>
          </w:p>
          <w:p>
            <w:pPr>
              <w:spacing w:before="0" w:after="0"/>
              <w:ind w:left="160"/>
              <w:jc w:val="left"/>
            </w:pPr>
            <w:r>
              <w:rPr>
                <w:rFonts w:ascii="Arial Unicode MS" w:hAnsi="Arial Unicode MS"/>
                <w:b w:val="false"/>
                <w:i w:val="false"/>
                <w:color w:val="000000"/>
                <w:sz w:val="18"/>
              </w:rPr>
              <w:t> CFC-11</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75-69-4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Methane, trichlorofluoro-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0.3</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2,4,5-Trichlorophenol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95-95-4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2,4,5-trichloro-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2,4,6-Trichlorophenol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88-06-2</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Phenol, 2,4,6-trichloro-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8040</w:t>
            </w:r>
          </w:p>
          <w:p>
            <w:pPr>
              <w:spacing w:before="0" w:after="0"/>
              <w:ind w:left="16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10</w:t>
            </w:r>
          </w:p>
        </w:tc>
      </w:tr>
      <w:tr>
        <w:trPr>
          <w:trHeight w:val="30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1,2,3-Trichloropropane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96-18-4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Propane, 1,2,3-trichloro-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15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0,0,0-Triethyl phosphorothioate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126-68-1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Phosphorothioic acid, 0,0,0-</w:t>
            </w:r>
          </w:p>
          <w:p>
            <w:pPr>
              <w:spacing w:before="0" w:after="0"/>
              <w:ind w:left="160"/>
              <w:jc w:val="left"/>
            </w:pPr>
            <w:r>
              <w:rPr>
                <w:rFonts w:ascii="Times New Roman" w:hAnsi="Times New Roman"/>
                <w:b w:val="false"/>
                <w:i w:val="false"/>
                <w:color w:val="000000"/>
                <w:sz w:val="18"/>
              </w:rPr>
              <w:t>triethyl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sym-Trinitrobenzene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99-35-4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1,3,5-trinitro-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8270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Vanadium</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Vanadium</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7910</w:t>
            </w:r>
          </w:p>
          <w:p>
            <w:pPr>
              <w:spacing w:before="0" w:after="0"/>
              <w:ind w:left="160"/>
              <w:jc w:val="left"/>
            </w:pPr>
            <w:r>
              <w:rPr>
                <w:rFonts w:ascii="Times New Roman" w:hAnsi="Times New Roman"/>
                <w:b w:val="false"/>
                <w:i w:val="false"/>
                <w:color w:val="000000"/>
                <w:sz w:val="18"/>
              </w:rPr>
              <w:t>7911</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w:t>
            </w:r>
          </w:p>
          <w:p>
            <w:pPr>
              <w:spacing w:before="0" w:after="0"/>
              <w:ind w:left="160"/>
              <w:jc w:val="left"/>
            </w:pPr>
            <w:r>
              <w:rPr>
                <w:rFonts w:ascii="Times New Roman" w:hAnsi="Times New Roman"/>
                <w:b w:val="false"/>
                <w:i w:val="false"/>
                <w:color w:val="000000"/>
                <w:sz w:val="18"/>
              </w:rPr>
              <w:t>2000</w:t>
            </w:r>
          </w:p>
          <w:p>
            <w:pPr>
              <w:spacing w:before="0" w:after="0"/>
              <w:ind w:left="160"/>
              <w:jc w:val="left"/>
            </w:pPr>
            <w:r>
              <w:rPr>
                <w:rFonts w:ascii="Times New Roman" w:hAnsi="Times New Roman"/>
                <w:b w:val="false"/>
                <w:i w:val="false"/>
                <w:color w:val="000000"/>
                <w:sz w:val="18"/>
              </w:rPr>
              <w:t>40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Vinyl acetate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108-05-4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Acetic acid, ethenyl ester</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Vinyl chloride; Chloroethene</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75-01-4</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Ethene, chloro-</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8010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p>
            <w:pPr>
              <w:spacing w:before="0" w:after="0"/>
              <w:ind w:left="160"/>
              <w:jc w:val="left"/>
            </w:pPr>
            <w:r>
              <w:rPr>
                <w:rFonts w:ascii="Times New Roman" w:hAnsi="Times New Roman"/>
                <w:b w:val="false"/>
                <w:i w:val="false"/>
                <w:color w:val="000000"/>
                <w:sz w:val="18"/>
              </w:rPr>
              <w:t>0.4</w:t>
            </w:r>
          </w:p>
          <w:p>
            <w:pPr>
              <w:spacing w:before="0" w:after="0"/>
              <w:ind w:left="160"/>
              <w:jc w:val="left"/>
            </w:pPr>
            <w:r>
              <w:rPr>
                <w:rFonts w:ascii="Times New Roman" w:hAnsi="Times New Roman"/>
                <w:b w:val="false"/>
                <w:i w:val="false"/>
                <w:color w:val="000000"/>
                <w:sz w:val="18"/>
              </w:rPr>
              <w:t>10</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Xylene (total)</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See Note 11</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 dimethyl-</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8020</w:t>
            </w:r>
          </w:p>
          <w:p>
            <w:pPr>
              <w:spacing w:before="0" w:after="0"/>
              <w:ind w:left="160"/>
              <w:jc w:val="left"/>
            </w:pPr>
            <w:r>
              <w:rPr>
                <w:rFonts w:ascii="Times New Roman" w:hAnsi="Times New Roman"/>
                <w:b w:val="false"/>
                <w:i w:val="false"/>
                <w:color w:val="000000"/>
                <w:sz w:val="18"/>
              </w:rPr>
              <w:t>8021</w:t>
            </w:r>
          </w:p>
          <w:p>
            <w:pPr>
              <w:spacing w:before="0" w:after="0"/>
              <w:ind w:left="160"/>
              <w:jc w:val="left"/>
            </w:pPr>
            <w:r>
              <w:rPr>
                <w:rFonts w:ascii="Times New Roman" w:hAnsi="Times New Roman"/>
                <w:b w:val="false"/>
                <w:i w:val="false"/>
                <w:color w:val="000000"/>
                <w:sz w:val="18"/>
              </w:rPr>
              <w:t>8260</w:t>
            </w:r>
          </w:p>
        </w:tc>
        <w:tc>
          <w:tcPr>
            <w:tcW w:w="111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p>
            <w:pPr>
              <w:spacing w:before="0" w:after="0"/>
              <w:ind w:left="160"/>
              <w:jc w:val="left"/>
            </w:pPr>
            <w:r>
              <w:rPr>
                <w:rFonts w:ascii="Times New Roman" w:hAnsi="Times New Roman"/>
                <w:b w:val="false"/>
                <w:i w:val="false"/>
                <w:color w:val="000000"/>
                <w:sz w:val="18"/>
              </w:rPr>
              <w:t>0.2</w:t>
            </w:r>
          </w:p>
          <w:p>
            <w:pPr>
              <w:spacing w:before="0" w:after="0"/>
              <w:ind w:left="160"/>
              <w:jc w:val="left"/>
            </w:pPr>
            <w:r>
              <w:rPr>
                <w:rFonts w:ascii="Times New Roman" w:hAnsi="Times New Roman"/>
                <w:b w:val="false"/>
                <w:i w:val="false"/>
                <w:color w:val="000000"/>
                <w:sz w:val="18"/>
              </w:rPr>
              <w:t>5</w:t>
            </w:r>
          </w:p>
        </w:tc>
      </w:tr>
      <w:tr>
        <w:trPr>
          <w:trHeight w:val="255" w:hRule="atLeast"/>
        </w:trPr>
        <w:tc>
          <w:tcPr>
            <w:tcW w:w="3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4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6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w:t>
            </w:r>
          </w:p>
        </w:tc>
        <w:tc>
          <w:tcPr>
            <w:tcW w:w="14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w:t>
            </w:r>
          </w:p>
        </w:tc>
        <w:tc>
          <w:tcPr>
            <w:tcW w:w="35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w:t>
            </w:r>
          </w:p>
        </w:tc>
        <w:tc>
          <w:tcPr>
            <w:tcW w:w="139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6010</w:t>
            </w:r>
          </w:p>
          <w:p>
            <w:pPr>
              <w:spacing w:before="0" w:after="0"/>
              <w:ind w:left="160"/>
              <w:jc w:val="left"/>
            </w:pPr>
            <w:r>
              <w:rPr>
                <w:rFonts w:ascii="Times New Roman" w:hAnsi="Times New Roman"/>
                <w:b w:val="false"/>
                <w:i w:val="false"/>
                <w:color w:val="000000"/>
                <w:sz w:val="18"/>
              </w:rPr>
              <w:t>7950</w:t>
            </w:r>
          </w:p>
          <w:p>
            <w:pPr>
              <w:spacing w:before="0" w:after="0"/>
              <w:ind w:left="160"/>
              <w:jc w:val="left"/>
            </w:pPr>
            <w:r>
              <w:rPr>
                <w:rFonts w:ascii="Times New Roman" w:hAnsi="Times New Roman"/>
                <w:b w:val="false"/>
                <w:i w:val="false"/>
                <w:color w:val="000000"/>
                <w:sz w:val="18"/>
              </w:rPr>
              <w:t>7951</w:t>
            </w:r>
          </w:p>
        </w:tc>
        <w:tc>
          <w:tcPr>
            <w:tcW w:w="11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w:t>
            </w:r>
          </w:p>
          <w:p>
            <w:pPr>
              <w:spacing w:before="0" w:after="0"/>
              <w:ind w:left="160"/>
              <w:jc w:val="left"/>
            </w:pPr>
            <w:r>
              <w:rPr>
                <w:rFonts w:ascii="Times New Roman" w:hAnsi="Times New Roman"/>
                <w:b w:val="false"/>
                <w:i w:val="false"/>
                <w:color w:val="000000"/>
                <w:sz w:val="18"/>
              </w:rPr>
              <w:t>50</w:t>
            </w:r>
          </w:p>
          <w:p>
            <w:pPr>
              <w:spacing w:before="0" w:after="0"/>
              <w:ind w:left="160"/>
              <w:jc w:val="left"/>
            </w:pPr>
            <w:r>
              <w:rPr>
                <w:rFonts w:ascii="Times New Roman" w:hAnsi="Times New Roman"/>
                <w:b w:val="false"/>
                <w:i w:val="false"/>
                <w:color w:val="000000"/>
                <w:sz w:val="18"/>
              </w:rPr>
              <w:t>0.5</w:t>
            </w:r>
          </w:p>
        </w:tc>
      </w:tr>
    </w:tbl>
    <w:p>
      <w:pPr>
        <w:spacing w:before="0" w:after="0"/>
        <w:ind w:left="120"/>
        <w:jc w:val="both"/>
      </w:pPr>
      <w:r>
        <w:rPr>
          <w:rFonts w:ascii="Times New Roman" w:hAnsi="Times New Roman"/>
          <w:b w:val="false"/>
          <w:i w:val="false"/>
          <w:color w:val="000000"/>
          <w:sz w:val="22"/>
        </w:rPr>
        <w:t>Notes:</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The regulatory requirements pertain only to the list of substances; the right-hand columns (Methods and PQL) are given for informational purposes only. See also footnotes 5 and 6.</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Common names are those widely used in government regulations, scientific publications, and commerce; synonyms exist for many chemicals.</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Chemical Abstracts Service registry number. Where “Total” is entered, all species in the groundwater that contain this element are included.</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CAS index names are those used in the 9th Collective Index.</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Suggested Methods refer to analytical procedure numbers used in EPA Report SW-846 “Test Methods for Evaluating Solid Waste,” third edition, November 1986, as revised, December 1987. Analytical details can be found in SW-846 and in documentation on file at the agency. </w:t>
      </w:r>
      <w:r>
        <w:rPr>
          <w:rFonts w:ascii="Times New Roman" w:hAnsi="Times New Roman"/>
          <w:b w:val="false"/>
          <w:i w:val="false"/>
          <w:color w:val="000000"/>
          <w:sz w:val="22"/>
        </w:rPr>
        <w:t>CAUTION:</w:t>
      </w:r>
      <w:r>
        <w:rPr>
          <w:rFonts w:ascii="Times New Roman" w:hAnsi="Times New Roman"/>
          <w:b w:val="false"/>
          <w:i w:val="false"/>
          <w:color w:val="000000"/>
          <w:sz w:val="22"/>
        </w:rPr>
        <w:t xml:space="preserve"> The methods listed are representative SW-846 procedures and may not always be the most suitable method(s) for monitoring an analyte under the regulations.</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Practical Quantitation Limits (PQLs) are the lowest concentrations of analytes in groundwaters that can be reliably determined within specified limits of precision and accuracy by the indicated methods under routine laboratory operating conditions. The PQLs listed are generally stated to one significant figure. PQLs are based on 5 mL samples for volatile organics and 1 L samples for semivolatile organics. C</w:t>
      </w:r>
      <w:r>
        <w:rPr>
          <w:rFonts w:ascii="Times New Roman" w:hAnsi="Times New Roman"/>
          <w:b w:val="false"/>
          <w:i w:val="false"/>
          <w:color w:val="000000"/>
          <w:sz w:val="22"/>
        </w:rPr>
        <w:t>AUTION:</w:t>
      </w:r>
      <w:r>
        <w:rPr>
          <w:rFonts w:ascii="Times New Roman" w:hAnsi="Times New Roman"/>
          <w:b w:val="false"/>
          <w:i w:val="false"/>
          <w:color w:val="000000"/>
          <w:sz w:val="22"/>
        </w:rPr>
        <w:t xml:space="preserve"> The PQL values in many cases are based only on a general estimate for the method and not on a determination for individual compounds; PQLs are not a part of the regulation.</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This substance is often called Bis(2-chloroisopropyl) ether, the name Chemical Abstracts Service applies to its noncommercial isomer, Propane, 2,2[sec]-oxybis[2-chloro- (CAS RN 39638-32-9).</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22"/>
        </w:rPr>
        <w:t>Chlordane: This entry includes alpha-chlordane (CAS RN 5103-71-9), beta-chlordane (CAS RN 5103-74-2), gamma-chlordane (CAS RN 5566-34-7), and constituents of chlordane (CAS RN 57-74-9 and CAS RN 12789-03-6). PQL shown is for technical chlordane. PQLs of specific isomers are about 20 μg/L by method 8270.</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22"/>
        </w:rPr>
        <w:t>Polychlorinated biphenyls (CAS RN 1336-36-3); this category contains congener chemicals, including constituents of Aroclor 1016 (CAS RN 12674-11-2), Aroclor 1221 (CAS RN 11104-28-2), Aroclor 1232 (CAS RN 11141-16-5), Aroclor 1242 (CAS RN 53469-21-9), Aroclor 1248 (CAS RN 12672-29-6), Aroclor 1254 (CAS RN 11097-69-1), and Aroclor 1260 (CAS RN 11096-82-5). The PQL shown is an average value for PCB congeners.</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22"/>
        </w:rPr>
        <w:t>Toxaphene: This entry includes congener chemicals contained in technical toxaphene (CAS RN 8001-35-2), i.e., chlorinated camphene.</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22"/>
        </w:rPr>
        <w:t>Xylene (total): This entry includes o-xylene (CAS RN 96-47-6), m-xylene (CAS RN 108-38-3), p-xylene (CAS RN 106-42-3), and unspecified xylenes (dimethylbenzenes) (CAS RN 1330-20-7). PQLs for method 8021 are 0.2 μg/L for o-xylene and 0.1 for m- or p-xylene. The PQL for m-xylene is 2.0 μg/L by method 8020 or 8260.</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52">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6/14/07, Notice 12/6/06—published 7/4/07, effective 10/1/07]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2/25/09]</w:t>
      </w:r>
    </w:p>
    <w:p>
      <w:pPr>
        <w:spacing w:before="0" w:after="0"/>
        <w:ind w:left="120"/>
        <w:jc w:val="center"/>
      </w:pPr>
      <w:r>
        <w:rPr>
          <w:rFonts w:ascii="Times New Roman" w:hAnsi="Times New Roman"/>
          <w:b w:val="false"/>
          <w:i w:val="false"/>
          <w:color w:val="000000"/>
          <w:sz w:val="21"/>
        </w:rPr>
        <w:t>[Filed ARC 2692C</w:t>
      </w:r>
      <w:r>
        <w:rPr>
          <w:rFonts w:ascii="Times New Roman" w:hAnsi="Times New Roman"/>
          <w:b w:val="false"/>
          <w:i w:val="false"/>
          <w:color w:val="000000"/>
          <w:sz w:val="21"/>
        </w:rPr>
        <w:t xml:space="preserve"> (Notice ARC 2539C, IAB 5/25/16)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2"/>
        </w:rPr>
        <w:t>OBJECTION</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At its February 6, 2009 meeting the Administrative Rules Review Committee voted to object to the provisions of ARC 7474B relating to the closure of existing landfills. This filing appears in IAB Vol. XXXI, No. 14 (12-31-2008). The committee takes this action pursuant to the authority of §17A.4(5). </w:t>
      </w:r>
    </w:p>
    <w:p>
      <w:pPr>
        <w:spacing w:before="0" w:after="0"/>
        <w:ind w:left="120"/>
        <w:jc w:val="left"/>
      </w:pPr>
      <w:r>
        <w:rPr>
          <w:rFonts w:ascii="Times New Roman" w:hAnsi="Times New Roman"/>
          <w:b w:val="false"/>
          <w:i w:val="false"/>
          <w:color w:val="000000"/>
          <w:sz w:val="22"/>
        </w:rPr>
        <w:t xml:space="preserve">This rulemaking attempted to resolve issues raised by a Committee objection imposed in December, 2007. Although the Commission has made a serious effort to resolve the issues surrounding the 2007 rulemaking, the Committee believes the main underlying issue in the 2007 objection remains: that ARC 7474B is unreasonable because projects that were designed and constructed in accordance with rules in effect at the time of construction cannot be required to be redesigned or reconstructed due to subsequent rule changes unless the department finds that such facilities are causing pollution. That principle was set out in a “grandfather” clause which first appeared in an earlier rule and while it remains in place it has been restricted in the current filing. This filing continues to impose new requirements on facilities properly designed, constructed and permitted under the earlier rules. The committee believes the right conferred in the earlier rule cannot be extinguished or conditioned.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Objection filed February 10, 2009</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September 11, 2007.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108.pdf" Type="http://schemas.openxmlformats.org/officeDocument/2006/relationships/hyperlink" Id="rId5"/>
    <Relationship TargetMode="External" Target="https://www.legis.iowa.gov/docs/iac/chapter/567.109.pdf" Type="http://schemas.openxmlformats.org/officeDocument/2006/relationships/hyperlink" Id="rId6"/>
    <Relationship TargetMode="External" Target="https://www.legis.iowa.gov/docs/iac/rule/567.113.14.pdf" Type="http://schemas.openxmlformats.org/officeDocument/2006/relationships/hyperlink" Id="rId7"/>
    <Relationship TargetMode="External" Target="https://www.legis.iowa.gov/docs/iac/rule/567.113.10.pdf" Type="http://schemas.openxmlformats.org/officeDocument/2006/relationships/hyperlink" Id="rId8"/>
    <Relationship TargetMode="External" Target="https://www.legis.iowa.gov/docs/iac/rule/567.113.2.pdf" Type="http://schemas.openxmlformats.org/officeDocument/2006/relationships/hyperlink" Id="rId9"/>
    <Relationship TargetMode="External" Target="https://www.legis.iowa.gov/docs/iac/rule/567.113.10.pdf" Type="http://schemas.openxmlformats.org/officeDocument/2006/relationships/hyperlink" Id="rId10"/>
    <Relationship TargetMode="External" Target="https://www.legis.iowa.gov/docs/iac/rule/567.113.10.pdf" Type="http://schemas.openxmlformats.org/officeDocument/2006/relationships/hyperlink" Id="rId11"/>
    <Relationship TargetMode="External" Target="https://www.legis.iowa.gov/docs/iac/rule/567.113.10.pdf" Type="http://schemas.openxmlformats.org/officeDocument/2006/relationships/hyperlink" Id="rId12"/>
    <Relationship TargetMode="External" Target="https://www.legis.iowa.gov/docs/iac/rule/567.113.10.pdf" Type="http://schemas.openxmlformats.org/officeDocument/2006/relationships/hyperlink" Id="rId13"/>
    <Relationship TargetMode="External" Target="https://www.legis.iowa.gov/docs/iac/rule/567.113.6.pdf" Type="http://schemas.openxmlformats.org/officeDocument/2006/relationships/hyperlink" Id="rId14"/>
    <Relationship TargetMode="External" Target="https://www.legis.iowa.gov/docs/iac/rule/567.113.6.pdf" Type="http://schemas.openxmlformats.org/officeDocument/2006/relationships/hyperlink" Id="rId15"/>
    <Relationship TargetMode="External" Target="https://www.legis.iowa.gov/docs/iac/rule/567.113.6.pdf" Type="http://schemas.openxmlformats.org/officeDocument/2006/relationships/hyperlink" Id="rId16"/>
    <Relationship TargetMode="External" Target="https://www.legis.iowa.gov/docs/iac/rule/567.113.12.pdf" Type="http://schemas.openxmlformats.org/officeDocument/2006/relationships/hyperlink" Id="rId17"/>
    <Relationship TargetMode="External" Target="https://www.legis.iowa.gov/docs/iac/rule/567.113.13.pdf" Type="http://schemas.openxmlformats.org/officeDocument/2006/relationships/hyperlink" Id="rId18"/>
    <Relationship TargetMode="External" Target="https://www.legis.iowa.gov/docs/iac/rule/567.113.12.pdf" Type="http://schemas.openxmlformats.org/officeDocument/2006/relationships/hyperlink" Id="rId19"/>
    <Relationship TargetMode="External" Target="https://www.legis.iowa.gov/docs/iac/rule/567.113.2.pdf" Type="http://schemas.openxmlformats.org/officeDocument/2006/relationships/hyperlink" Id="rId20"/>
    <Relationship TargetMode="External" Target="https://www.legis.iowa.gov/docs/iac/rule/567.113.2.pdf" Type="http://schemas.openxmlformats.org/officeDocument/2006/relationships/hyperlink" Id="rId21"/>
    <Relationship TargetMode="External" Target="https://www.legis.iowa.gov/docs/iac/rule/567.113.2.pdf" Type="http://schemas.openxmlformats.org/officeDocument/2006/relationships/hyperlink" Id="rId22"/>
    <Relationship TargetMode="External" Target="https://www.legis.iowa.gov/docs/ico/chapter/455B.301.pdf" Type="http://schemas.openxmlformats.org/officeDocument/2006/relationships/hyperlink" Id="rId23"/>
    <Relationship TargetMode="External" Target="https://www.legis.iowa.gov/docs/iac/chapter/567.100.pdf" Type="http://schemas.openxmlformats.org/officeDocument/2006/relationships/hyperlink" Id="rId24"/>
    <Relationship TargetMode="External" Target="https://www.legis.iowa.gov/docs/iac/rule/567.113.12.pdf" Type="http://schemas.openxmlformats.org/officeDocument/2006/relationships/hyperlink" Id="rId25"/>
    <Relationship TargetMode="External" Target="https://www.legis.iowa.gov/docs/iac/rule/567.113.12.pdf" Type="http://schemas.openxmlformats.org/officeDocument/2006/relationships/hyperlink" Id="rId26"/>
    <Relationship TargetMode="External" Target="https://www.legis.iowa.gov/docs/iac/chapter/567.100.pdf" Type="http://schemas.openxmlformats.org/officeDocument/2006/relationships/hyperlink" Id="rId27"/>
    <Relationship TargetMode="External" Target="https://www.legis.iowa.gov/docs/iac/chapter/567.100.pdf" Type="http://schemas.openxmlformats.org/officeDocument/2006/relationships/hyperlink" Id="rId28"/>
    <Relationship TargetMode="External" Target="https://www.legis.iowa.gov/docs/iac/chapter/567.100.pdf" Type="http://schemas.openxmlformats.org/officeDocument/2006/relationships/hyperlink" Id="rId29"/>
    <Relationship TargetMode="External" Target="https://www.legis.iowa.gov/docs/iac/chapter/567.100.pdf" Type="http://schemas.openxmlformats.org/officeDocument/2006/relationships/hyperlink" Id="rId30"/>
    <Relationship TargetMode="External" Target="https://www.legis.iowa.gov/docs/iac/chapter/567.67.pdf" Type="http://schemas.openxmlformats.org/officeDocument/2006/relationships/hyperlink" Id="rId31"/>
    <Relationship TargetMode="External" Target="https://www.legis.iowa.gov/docs/ico/chapter/455B.pdf" Type="http://schemas.openxmlformats.org/officeDocument/2006/relationships/hyperlink" Id="rId32"/>
    <Relationship TargetMode="External" Target="https://www.legis.iowa.gov/docs/ico/chapter/455D.pdf" Type="http://schemas.openxmlformats.org/officeDocument/2006/relationships/hyperlink" Id="rId33"/>
    <Relationship TargetMode="External" Target="https://www.legis.iowa.gov/docs/ico/chapter/455B.pdf" Type="http://schemas.openxmlformats.org/officeDocument/2006/relationships/hyperlink" Id="rId34"/>
    <Relationship TargetMode="External" Target="https://www.legis.iowa.gov/docs/ico/chapter/455B.pdf" Type="http://schemas.openxmlformats.org/officeDocument/2006/relationships/hyperlink" Id="rId35"/>
    <Relationship TargetMode="External" Target="https://www.legis.iowa.gov/docs/ico/chapter/455D.pdf" Type="http://schemas.openxmlformats.org/officeDocument/2006/relationships/hyperlink" Id="rId36"/>
    <Relationship TargetMode="External" Target="https://www.legis.iowa.gov/docs/iac/rule/567.113.4.pdf" Type="http://schemas.openxmlformats.org/officeDocument/2006/relationships/hyperlink" Id="rId37"/>
    <Relationship TargetMode="External" Target="https://www.legis.iowa.gov/docs/iac/rule/567.113.4.pdf" Type="http://schemas.openxmlformats.org/officeDocument/2006/relationships/hyperlink" Id="rId38"/>
    <Relationship TargetMode="External" Target="https://www.legis.iowa.gov/docs/iac/rule/567.113.7.pdf" Type="http://schemas.openxmlformats.org/officeDocument/2006/relationships/hyperlink" Id="rId39"/>
    <Relationship TargetMode="External" Target="https://www.legis.iowa.gov/docs/iac/rule/567.113.8.pdf" Type="http://schemas.openxmlformats.org/officeDocument/2006/relationships/hyperlink" Id="rId40"/>
    <Relationship TargetMode="External" Target="https://www.legis.iowa.gov/docs/iac/rule/567.113.12.pdf" Type="http://schemas.openxmlformats.org/officeDocument/2006/relationships/hyperlink" Id="rId41"/>
    <Relationship TargetMode="External" Target="https://www.legis.iowa.gov/docs/iac/rule/567.113.12.pdf" Type="http://schemas.openxmlformats.org/officeDocument/2006/relationships/hyperlink" Id="rId42"/>
    <Relationship TargetMode="External" Target="https://www.legis.iowa.gov/docs/iac/rule/567.113.4.pdf" Type="http://schemas.openxmlformats.org/officeDocument/2006/relationships/hyperlink" Id="rId43"/>
    <Relationship TargetMode="External" Target="https://www.legis.iowa.gov/docs/iac/rule/567.113.4.pdf" Type="http://schemas.openxmlformats.org/officeDocument/2006/relationships/hyperlink" Id="rId44"/>
    <Relationship TargetMode="External" Target="https://www.legis.iowa.gov/docs/iac/rule/567.113.4.pdf" Type="http://schemas.openxmlformats.org/officeDocument/2006/relationships/hyperlink" Id="rId45"/>
    <Relationship TargetMode="External" Target="https://www.legis.iowa.gov/docs/iac/rule/567.113.4.pdf" Type="http://schemas.openxmlformats.org/officeDocument/2006/relationships/hyperlink" Id="rId46"/>
    <Relationship TargetMode="External" Target="https://www.legis.iowa.gov/docs/iac/rule/567.113.4.pdf" Type="http://schemas.openxmlformats.org/officeDocument/2006/relationships/hyperlink" Id="rId47"/>
    <Relationship TargetMode="External" Target="https://www.legis.iowa.gov/docs/iac/rule/567.113.4.pdf" Type="http://schemas.openxmlformats.org/officeDocument/2006/relationships/hyperlink" Id="rId48"/>
    <Relationship TargetMode="External" Target="https://www.legis.iowa.gov/docs/iac/rule/567.113.4.pdf" Type="http://schemas.openxmlformats.org/officeDocument/2006/relationships/hyperlink" Id="rId49"/>
    <Relationship TargetMode="External" Target="https://www.legis.iowa.gov/docs/iac/rule/567.113.15.pdf" Type="http://schemas.openxmlformats.org/officeDocument/2006/relationships/hyperlink" Id="rId50"/>
    <Relationship TargetMode="External" Target="https://www.legis.iowa.gov/docs/iac/rule/567.113.4.pdf" Type="http://schemas.openxmlformats.org/officeDocument/2006/relationships/hyperlink" Id="rId51"/>
    <Relationship TargetMode="External" Target="https://www.legis.iowa.gov/docs/iac/rule/567.113.4.pdf" Type="http://schemas.openxmlformats.org/officeDocument/2006/relationships/hyperlink" Id="rId52"/>
    <Relationship TargetMode="External" Target="https://www.legis.iowa.gov/docs/iac/rule/567.113.4.pdf" Type="http://schemas.openxmlformats.org/officeDocument/2006/relationships/hyperlink" Id="rId53"/>
    <Relationship TargetMode="External" Target="https://www.legis.iowa.gov/docs/iac/rule/567.113.6.pdf" Type="http://schemas.openxmlformats.org/officeDocument/2006/relationships/hyperlink" Id="rId54"/>
    <Relationship TargetMode="External" Target="https://www.legis.iowa.gov/docs/iac/rule/567.113.7.pdf" Type="http://schemas.openxmlformats.org/officeDocument/2006/relationships/hyperlink" Id="rId55"/>
    <Relationship TargetMode="External" Target="https://www.legis.iowa.gov/docs/iac/rule/567.113.8.pdf" Type="http://schemas.openxmlformats.org/officeDocument/2006/relationships/hyperlink" Id="rId56"/>
    <Relationship TargetMode="External" Target="https://www.legis.iowa.gov/docs/iac/rule/567.113.9.pdf" Type="http://schemas.openxmlformats.org/officeDocument/2006/relationships/hyperlink" Id="rId57"/>
    <Relationship TargetMode="External" Target="https://www.legis.iowa.gov/docs/iac/rule/567.113.10.pdf" Type="http://schemas.openxmlformats.org/officeDocument/2006/relationships/hyperlink" Id="rId58"/>
    <Relationship TargetMode="External" Target="https://www.legis.iowa.gov/docs/iac/rule/567.113.4.pdf" Type="http://schemas.openxmlformats.org/officeDocument/2006/relationships/hyperlink" Id="rId59"/>
    <Relationship TargetMode="External" Target="https://www.legis.iowa.gov/docs/iac/rule/567.113.14.pdf" Type="http://schemas.openxmlformats.org/officeDocument/2006/relationships/hyperlink" Id="rId60"/>
    <Relationship TargetMode="External" Target="https://www.legis.iowa.gov/docs/iac/rule/567.113.12.pdf" Type="http://schemas.openxmlformats.org/officeDocument/2006/relationships/hyperlink" Id="rId61"/>
    <Relationship TargetMode="External" Target="https://www.legis.iowa.gov/docs/iac/rule/567.113.13.pdf" Type="http://schemas.openxmlformats.org/officeDocument/2006/relationships/hyperlink" Id="rId62"/>
    <Relationship TargetMode="External" Target="https://www.legis.iowa.gov/docs/iac/rule/567.113.6.pdf" Type="http://schemas.openxmlformats.org/officeDocument/2006/relationships/hyperlink" Id="rId63"/>
    <Relationship TargetMode="External" Target="https://www.legis.iowa.gov/docs/iac/rule/567.113.6.pdf" Type="http://schemas.openxmlformats.org/officeDocument/2006/relationships/hyperlink" Id="rId64"/>
    <Relationship TargetMode="External" Target="https://www.legis.iowa.gov/docs/iac/rule/567.113.6.pdf" Type="http://schemas.openxmlformats.org/officeDocument/2006/relationships/hyperlink" Id="rId65"/>
    <Relationship TargetMode="External" Target="https://www.legis.iowa.gov/docs/iac/rule/567.113.6.pdf" Type="http://schemas.openxmlformats.org/officeDocument/2006/relationships/hyperlink" Id="rId66"/>
    <Relationship TargetMode="External" Target="https://www.legis.iowa.gov/docs/iac/rule/567.113.6.pdf" Type="http://schemas.openxmlformats.org/officeDocument/2006/relationships/hyperlink" Id="rId67"/>
    <Relationship TargetMode="External" Target="https://www.legis.iowa.gov/docs/ico/chapter/455B.305A.pdf" Type="http://schemas.openxmlformats.org/officeDocument/2006/relationships/hyperlink" Id="rId68"/>
    <Relationship TargetMode="External" Target="https://www.legis.iowa.gov/docs/iac/rule/567.113.6.pdf" Type="http://schemas.openxmlformats.org/officeDocument/2006/relationships/hyperlink" Id="rId69"/>
    <Relationship TargetMode="External" Target="https://www.legis.iowa.gov/docs/iac/rule/567.113.6.pdf" Type="http://schemas.openxmlformats.org/officeDocument/2006/relationships/hyperlink" Id="rId70"/>
    <Relationship TargetMode="External" Target="https://www.legis.iowa.gov/docs/iac/rule/567.113.6.pdf" Type="http://schemas.openxmlformats.org/officeDocument/2006/relationships/hyperlink" Id="rId71"/>
    <Relationship TargetMode="External" Target="https://www.legis.iowa.gov/docs/iac/rule/567.113.10.pdf" Type="http://schemas.openxmlformats.org/officeDocument/2006/relationships/hyperlink" Id="rId72"/>
    <Relationship TargetMode="External" Target="https://www.legis.iowa.gov/docs/iac/rule/567.113.10.pdf" Type="http://schemas.openxmlformats.org/officeDocument/2006/relationships/hyperlink" Id="rId73"/>
    <Relationship TargetMode="External" Target="https://www.legis.iowa.gov/docs/iac/rule/567.113.6.pdf" Type="http://schemas.openxmlformats.org/officeDocument/2006/relationships/hyperlink" Id="rId74"/>
    <Relationship TargetMode="External" Target="https://www.legis.iowa.gov/docs/iac/rule/567.113.6.pdf" Type="http://schemas.openxmlformats.org/officeDocument/2006/relationships/hyperlink" Id="rId75"/>
    <Relationship TargetMode="External" Target="https://www.legis.iowa.gov/docs/ico/chapter/455B.305A.pdf" Type="http://schemas.openxmlformats.org/officeDocument/2006/relationships/hyperlink" Id="rId76"/>
    <Relationship TargetMode="External" Target="https://www.legis.iowa.gov/docs/iac/rule/567.113.6.pdf" Type="http://schemas.openxmlformats.org/officeDocument/2006/relationships/hyperlink" Id="rId77"/>
    <Relationship TargetMode="External" Target="https://www.legis.iowa.gov/docs/iac/rule/567.113.6.pdf" Type="http://schemas.openxmlformats.org/officeDocument/2006/relationships/hyperlink" Id="rId78"/>
    <Relationship TargetMode="External" Target="https://www.legis.iowa.gov/docs/iac/rule/567.113.6.pdf" Type="http://schemas.openxmlformats.org/officeDocument/2006/relationships/hyperlink" Id="rId79"/>
    <Relationship TargetMode="External" Target="https://www.legis.iowa.gov/docs/iac/rule/567.113.6.pdf" Type="http://schemas.openxmlformats.org/officeDocument/2006/relationships/hyperlink" Id="rId80"/>
    <Relationship TargetMode="External" Target="https://www.legis.iowa.gov/docs/iac/rule/567.113.6.pdf" Type="http://schemas.openxmlformats.org/officeDocument/2006/relationships/hyperlink" Id="rId81"/>
    <Relationship TargetMode="External" Target="https://www.legis.iowa.gov/docs/iac/rule/567.113.6.pdf" Type="http://schemas.openxmlformats.org/officeDocument/2006/relationships/hyperlink" Id="rId82"/>
    <Relationship TargetMode="External" Target="https://www.legis.iowa.gov/docs/iac/rule/567.113.6.pdf" Type="http://schemas.openxmlformats.org/officeDocument/2006/relationships/hyperlink" Id="rId83"/>
    <Relationship TargetMode="External" Target="https://www.legis.iowa.gov/docs/iac/rule/567.113.6.pdf" Type="http://schemas.openxmlformats.org/officeDocument/2006/relationships/hyperlink" Id="rId84"/>
    <Relationship TargetMode="External" Target="https://www.legis.iowa.gov/docs/iac/rule/567.113.6.pdf" Type="http://schemas.openxmlformats.org/officeDocument/2006/relationships/hyperlink" Id="rId85"/>
    <Relationship TargetMode="External" Target="https://www.legis.iowa.gov/docs/iac/rule/567.113.6.pdf" Type="http://schemas.openxmlformats.org/officeDocument/2006/relationships/hyperlink" Id="rId86"/>
    <Relationship TargetMode="External" Target="https://www.legis.iowa.gov/docs/iac/rule/567.113.6.pdf" Type="http://schemas.openxmlformats.org/officeDocument/2006/relationships/hyperlink" Id="rId87"/>
    <Relationship TargetMode="External" Target="https://www.legis.iowa.gov/docs/iac/rule/567.113.7.pdf" Type="http://schemas.openxmlformats.org/officeDocument/2006/relationships/hyperlink" Id="rId88"/>
    <Relationship TargetMode="External" Target="https://www.legis.iowa.gov/docs/iac/rule/567.113.7.pdf" Type="http://schemas.openxmlformats.org/officeDocument/2006/relationships/hyperlink" Id="rId89"/>
    <Relationship TargetMode="External" Target="https://www.legis.iowa.gov/docs/iac/rule/567.113.7.pdf" Type="http://schemas.openxmlformats.org/officeDocument/2006/relationships/hyperlink" Id="rId90"/>
    <Relationship TargetMode="External" Target="https://www.legis.iowa.gov/docs/iac/rule/567.113.7.pdf" Type="http://schemas.openxmlformats.org/officeDocument/2006/relationships/hyperlink" Id="rId91"/>
    <Relationship TargetMode="External" Target="https://www.legis.iowa.gov/docs/iac/rule/567.113.2.pdf" Type="http://schemas.openxmlformats.org/officeDocument/2006/relationships/hyperlink" Id="rId92"/>
    <Relationship TargetMode="External" Target="https://www.legis.iowa.gov/docs/iac/rule/567.113.7.pdf" Type="http://schemas.openxmlformats.org/officeDocument/2006/relationships/hyperlink" Id="rId93"/>
    <Relationship TargetMode="External" Target="https://www.legis.iowa.gov/docs/iac/rule/567.113.7.pdf" Type="http://schemas.openxmlformats.org/officeDocument/2006/relationships/hyperlink" Id="rId94"/>
    <Relationship TargetMode="External" Target="https://www.legis.iowa.gov/docs/iac/rule/567.113.10.pdf" Type="http://schemas.openxmlformats.org/officeDocument/2006/relationships/hyperlink" Id="rId95"/>
    <Relationship TargetMode="External" Target="https://www.legis.iowa.gov/docs/iac/rule/567.113.2.pdf" Type="http://schemas.openxmlformats.org/officeDocument/2006/relationships/hyperlink" Id="rId96"/>
    <Relationship TargetMode="External" Target="https://www.legis.iowa.gov/docs/iac/rule/567.113.2.pdf" Type="http://schemas.openxmlformats.org/officeDocument/2006/relationships/hyperlink" Id="rId97"/>
    <Relationship TargetMode="External" Target="https://www.legis.iowa.gov/docs/iac/rule/567.113.7.pdf" Type="http://schemas.openxmlformats.org/officeDocument/2006/relationships/hyperlink" Id="rId98"/>
    <Relationship TargetMode="External" Target="https://www.legis.iowa.gov/docs/iac/rule/567.113.2.pdf" Type="http://schemas.openxmlformats.org/officeDocument/2006/relationships/hyperlink" Id="rId99"/>
    <Relationship TargetMode="External" Target="https://www.legis.iowa.gov/docs/iac/rule/567.113.10.pdf" Type="http://schemas.openxmlformats.org/officeDocument/2006/relationships/hyperlink" Id="rId100"/>
    <Relationship TargetMode="External" Target="https://www.legis.iowa.gov/docs/iac/rule/567.113.7.pdf" Type="http://schemas.openxmlformats.org/officeDocument/2006/relationships/hyperlink" Id="rId101"/>
    <Relationship TargetMode="External" Target="https://www.legis.iowa.gov/docs/iac/rule/567.113.7.pdf" Type="http://schemas.openxmlformats.org/officeDocument/2006/relationships/hyperlink" Id="rId102"/>
    <Relationship TargetMode="External" Target="https://www.legis.iowa.gov/docs/iac/rule/567.113.7.pdf" Type="http://schemas.openxmlformats.org/officeDocument/2006/relationships/hyperlink" Id="rId103"/>
    <Relationship TargetMode="External" Target="https://www.legis.iowa.gov/docs/iac/rule/567.113.7.pdf" Type="http://schemas.openxmlformats.org/officeDocument/2006/relationships/hyperlink" Id="rId104"/>
    <Relationship TargetMode="External" Target="https://www.legis.iowa.gov/docs/iac/rule/567.113.7.pdf" Type="http://schemas.openxmlformats.org/officeDocument/2006/relationships/hyperlink" Id="rId105"/>
    <Relationship TargetMode="External" Target="https://www.legis.iowa.gov/docs/iac/rule/567.113.7.pdf" Type="http://schemas.openxmlformats.org/officeDocument/2006/relationships/hyperlink" Id="rId106"/>
    <Relationship TargetMode="External" Target="https://www.legis.iowa.gov/docs/iac/rule/567.113.7.pdf" Type="http://schemas.openxmlformats.org/officeDocument/2006/relationships/hyperlink" Id="rId107"/>
    <Relationship TargetMode="External" Target="https://www.legis.iowa.gov/docs/iac/rule/567.113.7.pdf" Type="http://schemas.openxmlformats.org/officeDocument/2006/relationships/hyperlink" Id="rId108"/>
    <Relationship TargetMode="External" Target="https://www.legis.iowa.gov/docs/iac/rule/567.113.7.pdf" Type="http://schemas.openxmlformats.org/officeDocument/2006/relationships/hyperlink" Id="rId109"/>
    <Relationship TargetMode="External" Target="https://www.legis.iowa.gov/docs/iac/rule/567.113.7.pdf" Type="http://schemas.openxmlformats.org/officeDocument/2006/relationships/hyperlink" Id="rId110"/>
    <Relationship TargetMode="External" Target="https://www.legis.iowa.gov/docs/iac/rule/567.113.7.pdf" Type="http://schemas.openxmlformats.org/officeDocument/2006/relationships/hyperlink" Id="rId111"/>
    <Relationship TargetMode="External" Target="https://www.legis.iowa.gov/docs/iac/rule/567.113.7.pdf" Type="http://schemas.openxmlformats.org/officeDocument/2006/relationships/hyperlink" Id="rId112"/>
    <Relationship TargetMode="External" Target="https://www.legis.iowa.gov/docs/iac/rule/567.113.12.pdf" Type="http://schemas.openxmlformats.org/officeDocument/2006/relationships/hyperlink" Id="rId113"/>
    <Relationship TargetMode="External" Target="https://www.legis.iowa.gov/docs/iac/rule/567.113.10.pdf" Type="http://schemas.openxmlformats.org/officeDocument/2006/relationships/hyperlink" Id="rId114"/>
    <Relationship TargetMode="External" Target="https://www.legis.iowa.gov/docs/iac/rule/567.113.8.pdf" Type="http://schemas.openxmlformats.org/officeDocument/2006/relationships/hyperlink" Id="rId115"/>
    <Relationship TargetMode="External" Target="https://www.legis.iowa.gov/docs/iac/rule/567.113.8.pdf" Type="http://schemas.openxmlformats.org/officeDocument/2006/relationships/hyperlink" Id="rId116"/>
    <Relationship TargetMode="External" Target="https://www.legis.iowa.gov/docs/ico/chapter/455B.411.pdf" Type="http://schemas.openxmlformats.org/officeDocument/2006/relationships/hyperlink" Id="rId117"/>
    <Relationship TargetMode="External" Target="https://www.legis.iowa.gov/docs/iac/rule/567.113.8.pdf" Type="http://schemas.openxmlformats.org/officeDocument/2006/relationships/hyperlink" Id="rId118"/>
    <Relationship TargetMode="External" Target="https://www.legis.iowa.gov/docs/iac/rule/567.113.8.pdf" Type="http://schemas.openxmlformats.org/officeDocument/2006/relationships/hyperlink" Id="rId119"/>
    <Relationship TargetMode="External" Target="https://www.legis.iowa.gov/docs/iac/rule/567.113.8.pdf" Type="http://schemas.openxmlformats.org/officeDocument/2006/relationships/hyperlink" Id="rId120"/>
    <Relationship TargetMode="External" Target="https://www.legis.iowa.gov/docs/iac/rule/567.113.7.pdf" Type="http://schemas.openxmlformats.org/officeDocument/2006/relationships/hyperlink" Id="rId121"/>
    <Relationship TargetMode="External" Target="https://www.legis.iowa.gov/docs/iac/rule/567.113.7.pdf" Type="http://schemas.openxmlformats.org/officeDocument/2006/relationships/hyperlink" Id="rId122"/>
    <Relationship TargetMode="External" Target="https://www.legis.iowa.gov/docs/iac/rule/567.113.4.pdf" Type="http://schemas.openxmlformats.org/officeDocument/2006/relationships/hyperlink" Id="rId123"/>
    <Relationship TargetMode="External" Target="https://www.legis.iowa.gov/docs/iac/chapter/567.68.pdf" Type="http://schemas.openxmlformats.org/officeDocument/2006/relationships/hyperlink" Id="rId124"/>
    <Relationship TargetMode="External" Target="https://www.legis.iowa.gov/docs/iac/chapter/567.118.pdf" Type="http://schemas.openxmlformats.org/officeDocument/2006/relationships/hyperlink" Id="rId125"/>
    <Relationship TargetMode="External" Target="https://www.legis.iowa.gov/docs/iac/chapter/567.118.pdf" Type="http://schemas.openxmlformats.org/officeDocument/2006/relationships/hyperlink" Id="rId126"/>
    <Relationship TargetMode="External" Target="https://www.legis.iowa.gov/docs/iac/chapter/567.109.pdf" Type="http://schemas.openxmlformats.org/officeDocument/2006/relationships/hyperlink" Id="rId127"/>
    <Relationship TargetMode="External" Target="https://www.legis.iowa.gov/docs/iac/chapter/567.109.pdf" Type="http://schemas.openxmlformats.org/officeDocument/2006/relationships/hyperlink" Id="rId128"/>
    <Relationship TargetMode="External" Target="https://www.legis.iowa.gov/docs/iac/chapter/567.120.pdf" Type="http://schemas.openxmlformats.org/officeDocument/2006/relationships/hyperlink" Id="rId129"/>
    <Relationship TargetMode="External" Target="https://www.legis.iowa.gov/docs/iac/chapter/567.109.pdf" Type="http://schemas.openxmlformats.org/officeDocument/2006/relationships/hyperlink" Id="rId130"/>
    <Relationship TargetMode="External" Target="https://www.legis.iowa.gov/docs/iac/rule/567.113.7.pdf" Type="http://schemas.openxmlformats.org/officeDocument/2006/relationships/hyperlink" Id="rId131"/>
    <Relationship TargetMode="External" Target="https://www.legis.iowa.gov/docs/iac/rule/567.113.7.pdf" Type="http://schemas.openxmlformats.org/officeDocument/2006/relationships/hyperlink" Id="rId132"/>
    <Relationship TargetMode="External" Target="https://www.legis.iowa.gov/docs/iac/rule/567.113.10.pdf" Type="http://schemas.openxmlformats.org/officeDocument/2006/relationships/hyperlink" Id="rId133"/>
    <Relationship TargetMode="External" Target="https://www.legis.iowa.gov/docs/iac/rule/567.113.8.pdf" Type="http://schemas.openxmlformats.org/officeDocument/2006/relationships/hyperlink" Id="rId134"/>
    <Relationship TargetMode="External" Target="https://www.legis.iowa.gov/docs/iac/chapter/567.109.pdf" Type="http://schemas.openxmlformats.org/officeDocument/2006/relationships/hyperlink" Id="rId135"/>
    <Relationship TargetMode="External" Target="https://www.legis.iowa.gov/docs/iac/chapter/567.108.pdf" Type="http://schemas.openxmlformats.org/officeDocument/2006/relationships/hyperlink" Id="rId136"/>
    <Relationship TargetMode="External" Target="https://www.legis.iowa.gov/docs/iac/chapter/567.108.pdf" Type="http://schemas.openxmlformats.org/officeDocument/2006/relationships/hyperlink" Id="rId137"/>
    <Relationship TargetMode="External" Target="https://www.legis.iowa.gov/docs/iac/rule/567.113.7.pdf" Type="http://schemas.openxmlformats.org/officeDocument/2006/relationships/hyperlink" Id="rId138"/>
    <Relationship TargetMode="External" Target="https://www.legis.iowa.gov/docs/iac/rule/567.113.12.pdf" Type="http://schemas.openxmlformats.org/officeDocument/2006/relationships/hyperlink" Id="rId139"/>
    <Relationship TargetMode="External" Target="https://www.legis.iowa.gov/docs/iac/rule/567.113.13.pdf" Type="http://schemas.openxmlformats.org/officeDocument/2006/relationships/hyperlink" Id="rId140"/>
    <Relationship TargetMode="External" Target="https://www.legis.iowa.gov/docs/iac/rule/567.113.7.pdf" Type="http://schemas.openxmlformats.org/officeDocument/2006/relationships/hyperlink" Id="rId141"/>
    <Relationship TargetMode="External" Target="https://www.legis.iowa.gov/docs/iac/rule/567.113.14.pdf" Type="http://schemas.openxmlformats.org/officeDocument/2006/relationships/hyperlink" Id="rId142"/>
    <Relationship TargetMode="External" Target="https://www.legis.iowa.gov/docs/iac/rule/567.113.8.pdf" Type="http://schemas.openxmlformats.org/officeDocument/2006/relationships/hyperlink" Id="rId143"/>
    <Relationship TargetMode="External" Target="https://www.legis.iowa.gov/docs/iac/rule/567.113.8.pdf" Type="http://schemas.openxmlformats.org/officeDocument/2006/relationships/hyperlink" Id="rId144"/>
    <Relationship TargetMode="External" Target="https://www.legis.iowa.gov/docs/iac/rule/567.113.8.pdf" Type="http://schemas.openxmlformats.org/officeDocument/2006/relationships/hyperlink" Id="rId145"/>
    <Relationship TargetMode="External" Target="https://www.legis.iowa.gov/docs/iac/rule/567.113.8.pdf" Type="http://schemas.openxmlformats.org/officeDocument/2006/relationships/hyperlink" Id="rId146"/>
    <Relationship TargetMode="External" Target="https://www.legis.iowa.gov/docs/ico/chapter/455B.306.pdf" Type="http://schemas.openxmlformats.org/officeDocument/2006/relationships/hyperlink" Id="rId147"/>
    <Relationship TargetMode="External" Target="https://www.legis.iowa.gov/docs/iac/rule/567.113.8.pdf" Type="http://schemas.openxmlformats.org/officeDocument/2006/relationships/hyperlink" Id="rId148"/>
    <Relationship TargetMode="External" Target="https://www.legis.iowa.gov/docs/iac/rule/567.113.8.pdf" Type="http://schemas.openxmlformats.org/officeDocument/2006/relationships/hyperlink" Id="rId149"/>
    <Relationship TargetMode="External" Target="https://www.legis.iowa.gov/docs/iac/rule/567.113.8.pdf" Type="http://schemas.openxmlformats.org/officeDocument/2006/relationships/hyperlink" Id="rId150"/>
    <Relationship TargetMode="External" Target="https://www.legis.iowa.gov/docs/iac/rule/567.113.8.pdf" Type="http://schemas.openxmlformats.org/officeDocument/2006/relationships/hyperlink" Id="rId151"/>
    <Relationship TargetMode="External" Target="https://www.legis.iowa.gov/docs/iac/chapter/567.7.pdf" Type="http://schemas.openxmlformats.org/officeDocument/2006/relationships/hyperlink" Id="rId152"/>
    <Relationship TargetMode="External" Target="https://www.legis.iowa.gov/docs/iac/rule/567.113.8.pdf" Type="http://schemas.openxmlformats.org/officeDocument/2006/relationships/hyperlink" Id="rId153"/>
    <Relationship TargetMode="External" Target="https://www.legis.iowa.gov/docs/iac/rule/567.113.9.pdf" Type="http://schemas.openxmlformats.org/officeDocument/2006/relationships/hyperlink" Id="rId154"/>
    <Relationship TargetMode="External" Target="https://www.legis.iowa.gov/docs/iac/rule/567.113.9.pdf" Type="http://schemas.openxmlformats.org/officeDocument/2006/relationships/hyperlink" Id="rId155"/>
    <Relationship TargetMode="External" Target="https://www.legis.iowa.gov/docs/iac/rule/567.113.9.pdf" Type="http://schemas.openxmlformats.org/officeDocument/2006/relationships/hyperlink" Id="rId156"/>
    <Relationship TargetMode="External" Target="https://www.legis.iowa.gov/docs/iac/rule/567.113.10.pdf" Type="http://schemas.openxmlformats.org/officeDocument/2006/relationships/hyperlink" Id="rId157"/>
    <Relationship TargetMode="External" Target="https://www.legis.iowa.gov/docs/iac/rule/567.113.10.pdf" Type="http://schemas.openxmlformats.org/officeDocument/2006/relationships/hyperlink" Id="rId158"/>
    <Relationship TargetMode="External" Target="https://www.legis.iowa.gov/docs/iac/rule/567.113.10.pdf" Type="http://schemas.openxmlformats.org/officeDocument/2006/relationships/hyperlink" Id="rId159"/>
    <Relationship TargetMode="External" Target="https://www.legis.iowa.gov/docs/iac/rule/567.113.10.pdf" Type="http://schemas.openxmlformats.org/officeDocument/2006/relationships/hyperlink" Id="rId160"/>
    <Relationship TargetMode="External" Target="https://www.legis.iowa.gov/docs/iac/rule/567.113.13.pdf" Type="http://schemas.openxmlformats.org/officeDocument/2006/relationships/hyperlink" Id="rId161"/>
    <Relationship TargetMode="External" Target="https://www.legis.iowa.gov/docs/iac/rule/567.113.10.pdf" Type="http://schemas.openxmlformats.org/officeDocument/2006/relationships/hyperlink" Id="rId162"/>
    <Relationship TargetMode="External" Target="https://www.legis.iowa.gov/docs/iac/rule/567.113.10.pdf" Type="http://schemas.openxmlformats.org/officeDocument/2006/relationships/hyperlink" Id="rId163"/>
    <Relationship TargetMode="External" Target="https://www.legis.iowa.gov/docs/iac/rule/567.113.10.pdf" Type="http://schemas.openxmlformats.org/officeDocument/2006/relationships/hyperlink" Id="rId164"/>
    <Relationship TargetMode="External" Target="https://www.legis.iowa.gov/docs/iac/rule/567.113.10.pdf" Type="http://schemas.openxmlformats.org/officeDocument/2006/relationships/hyperlink" Id="rId165"/>
    <Relationship TargetMode="External" Target="https://www.legis.iowa.gov/docs/iac/rule/567.113.10.pdf" Type="http://schemas.openxmlformats.org/officeDocument/2006/relationships/hyperlink" Id="rId166"/>
    <Relationship TargetMode="External" Target="https://www.legis.iowa.gov/docs/iac/rule/567.113.10.pdf" Type="http://schemas.openxmlformats.org/officeDocument/2006/relationships/hyperlink" Id="rId167"/>
    <Relationship TargetMode="External" Target="https://www.legis.iowa.gov/docs/iac/rule/567.113.10.pdf" Type="http://schemas.openxmlformats.org/officeDocument/2006/relationships/hyperlink" Id="rId168"/>
    <Relationship TargetMode="External" Target="https://www.legis.iowa.gov/docs/iac/rule/567.113.10.pdf" Type="http://schemas.openxmlformats.org/officeDocument/2006/relationships/hyperlink" Id="rId169"/>
    <Relationship TargetMode="External" Target="https://www.legis.iowa.gov/docs/iac/rule/567.113.10.pdf" Type="http://schemas.openxmlformats.org/officeDocument/2006/relationships/hyperlink" Id="rId170"/>
    <Relationship TargetMode="External" Target="https://www.legis.iowa.gov/docs/iac/rule/567.113.10.pdf" Type="http://schemas.openxmlformats.org/officeDocument/2006/relationships/hyperlink" Id="rId171"/>
    <Relationship TargetMode="External" Target="https://www.legis.iowa.gov/docs/iac/rule/567.113.10.pdf" Type="http://schemas.openxmlformats.org/officeDocument/2006/relationships/hyperlink" Id="rId172"/>
    <Relationship TargetMode="External" Target="https://www.legis.iowa.gov/docs/iac/rule/567.113.7.pdf" Type="http://schemas.openxmlformats.org/officeDocument/2006/relationships/hyperlink" Id="rId173"/>
    <Relationship TargetMode="External" Target="https://www.legis.iowa.gov/docs/iac/rule/567.113.7.pdf" Type="http://schemas.openxmlformats.org/officeDocument/2006/relationships/hyperlink" Id="rId174"/>
    <Relationship TargetMode="External" Target="https://www.legis.iowa.gov/docs/iac/rule/567.113.7.pdf" Type="http://schemas.openxmlformats.org/officeDocument/2006/relationships/hyperlink" Id="rId175"/>
    <Relationship TargetMode="External" Target="https://www.legis.iowa.gov/docs/iac/rule/567.113.10.pdf" Type="http://schemas.openxmlformats.org/officeDocument/2006/relationships/hyperlink" Id="rId176"/>
    <Relationship TargetMode="External" Target="https://www.legis.iowa.gov/docs/iac/rule/567.113.10.pdf" Type="http://schemas.openxmlformats.org/officeDocument/2006/relationships/hyperlink" Id="rId177"/>
    <Relationship TargetMode="External" Target="https://www.legis.iowa.gov/docs/iac/rule/567.113.6.pdf" Type="http://schemas.openxmlformats.org/officeDocument/2006/relationships/hyperlink" Id="rId178"/>
    <Relationship TargetMode="External" Target="https://www.legis.iowa.gov/docs/iac/rule/567.113.10.pdf" Type="http://schemas.openxmlformats.org/officeDocument/2006/relationships/hyperlink" Id="rId179"/>
    <Relationship TargetMode="External" Target="https://www.legis.iowa.gov/docs/iac/rule/567.113.10.pdf" Type="http://schemas.openxmlformats.org/officeDocument/2006/relationships/hyperlink" Id="rId180"/>
    <Relationship TargetMode="External" Target="https://www.legis.iowa.gov/docs/iac/rule/567.113.10.pdf" Type="http://schemas.openxmlformats.org/officeDocument/2006/relationships/hyperlink" Id="rId181"/>
    <Relationship TargetMode="External" Target="https://www.legis.iowa.gov/docs/iac/rule/567.113.10.pdf" Type="http://schemas.openxmlformats.org/officeDocument/2006/relationships/hyperlink" Id="rId182"/>
    <Relationship TargetMode="External" Target="https://www.legis.iowa.gov/docs/iac/chapter/567.82.pdf" Type="http://schemas.openxmlformats.org/officeDocument/2006/relationships/hyperlink" Id="rId183"/>
    <Relationship TargetMode="External" Target="https://www.legis.iowa.gov/docs/iac/chapter/567.82.pdf" Type="http://schemas.openxmlformats.org/officeDocument/2006/relationships/hyperlink" Id="rId184"/>
    <Relationship TargetMode="External" Target="https://www.legis.iowa.gov/docs/iac/chapter/567.82.pdf" Type="http://schemas.openxmlformats.org/officeDocument/2006/relationships/hyperlink" Id="rId185"/>
    <Relationship TargetMode="External" Target="https://www.legis.iowa.gov/docs/iac/rule/567.113.6.pdf" Type="http://schemas.openxmlformats.org/officeDocument/2006/relationships/hyperlink" Id="rId186"/>
    <Relationship TargetMode="External" Target="https://www.legis.iowa.gov/docs/iac/rule/567.113.6.pdf" Type="http://schemas.openxmlformats.org/officeDocument/2006/relationships/hyperlink" Id="rId187"/>
    <Relationship TargetMode="External" Target="https://www.legis.iowa.gov/docs/iac/rule/567.113.6.pdf" Type="http://schemas.openxmlformats.org/officeDocument/2006/relationships/hyperlink" Id="rId188"/>
    <Relationship TargetMode="External" Target="https://www.legis.iowa.gov/docs/iac/rule/567.113.10.pdf" Type="http://schemas.openxmlformats.org/officeDocument/2006/relationships/hyperlink" Id="rId189"/>
    <Relationship TargetMode="External" Target="https://www.legis.iowa.gov/docs/iac/rule/567.113.10.pdf" Type="http://schemas.openxmlformats.org/officeDocument/2006/relationships/hyperlink" Id="rId190"/>
    <Relationship TargetMode="External" Target="https://www.legis.iowa.gov/docs/iac/rule/567.113.10.pdf" Type="http://schemas.openxmlformats.org/officeDocument/2006/relationships/hyperlink" Id="rId191"/>
    <Relationship TargetMode="External" Target="https://www.legis.iowa.gov/docs/iac/rule/567.113.10.pdf" Type="http://schemas.openxmlformats.org/officeDocument/2006/relationships/hyperlink" Id="rId192"/>
    <Relationship TargetMode="External" Target="https://www.legis.iowa.gov/docs/iac/rule/567.113.10.pdf" Type="http://schemas.openxmlformats.org/officeDocument/2006/relationships/hyperlink" Id="rId193"/>
    <Relationship Target="media/document_image_rId194.gif" Type="http://schemas.openxmlformats.org/officeDocument/2006/relationships/image" Id="rId194"/>
    <Relationship TargetMode="External" Target="https://www.legis.iowa.gov/docs/iac/rule/567.113.10.pdf" Type="http://schemas.openxmlformats.org/officeDocument/2006/relationships/hyperlink" Id="rId195"/>
    <Relationship TargetMode="External" Target="https://www.legis.iowa.gov/docs/iac/rule/567.113.10.pdf" Type="http://schemas.openxmlformats.org/officeDocument/2006/relationships/hyperlink" Id="rId196"/>
    <Relationship TargetMode="External" Target="https://www.legis.iowa.gov/docs/iac/rule/567.113.10.pdf" Type="http://schemas.openxmlformats.org/officeDocument/2006/relationships/hyperlink" Id="rId197"/>
    <Relationship TargetMode="External" Target="https://www.legis.iowa.gov/docs/iac/rule/567.113.10.pdf" Type="http://schemas.openxmlformats.org/officeDocument/2006/relationships/hyperlink" Id="rId198"/>
    <Relationship TargetMode="External" Target="https://www.legis.iowa.gov/docs/iac/rule/567.113.10.pdf" Type="http://schemas.openxmlformats.org/officeDocument/2006/relationships/hyperlink" Id="rId199"/>
    <Relationship TargetMode="External" Target="https://www.legis.iowa.gov/docs/iac/rule/567.113.10.pdf" Type="http://schemas.openxmlformats.org/officeDocument/2006/relationships/hyperlink" Id="rId200"/>
    <Relationship TargetMode="External" Target="https://www.legis.iowa.gov/docs/iac/rule/567.113.10.pdf" Type="http://schemas.openxmlformats.org/officeDocument/2006/relationships/hyperlink" Id="rId201"/>
    <Relationship TargetMode="External" Target="https://www.legis.iowa.gov/docs/iac/rule/567.113.10.pdf" Type="http://schemas.openxmlformats.org/officeDocument/2006/relationships/hyperlink" Id="rId202"/>
    <Relationship TargetMode="External" Target="https://www.legis.iowa.gov/docs/iac/rule/567.113.10.pdf" Type="http://schemas.openxmlformats.org/officeDocument/2006/relationships/hyperlink" Id="rId203"/>
    <Relationship TargetMode="External" Target="https://www.legis.iowa.gov/docs/iac/rule/567.113.10.pdf" Type="http://schemas.openxmlformats.org/officeDocument/2006/relationships/hyperlink" Id="rId204"/>
    <Relationship TargetMode="External" Target="https://www.legis.iowa.gov/docs/iac/rule/567.113.10.pdf" Type="http://schemas.openxmlformats.org/officeDocument/2006/relationships/hyperlink" Id="rId205"/>
    <Relationship TargetMode="External" Target="https://www.legis.iowa.gov/docs/iac/rule/567.113.10.pdf" Type="http://schemas.openxmlformats.org/officeDocument/2006/relationships/hyperlink" Id="rId206"/>
    <Relationship TargetMode="External" Target="https://www.legis.iowa.gov/docs/iac/rule/567.113.10.pdf" Type="http://schemas.openxmlformats.org/officeDocument/2006/relationships/hyperlink" Id="rId207"/>
    <Relationship TargetMode="External" Target="https://www.legis.iowa.gov/docs/iac/rule/567.113.10.pdf" Type="http://schemas.openxmlformats.org/officeDocument/2006/relationships/hyperlink" Id="rId208"/>
    <Relationship TargetMode="External" Target="https://www.legis.iowa.gov/docs/iac/rule/567.113.10.pdf" Type="http://schemas.openxmlformats.org/officeDocument/2006/relationships/hyperlink" Id="rId209"/>
    <Relationship TargetMode="External" Target="https://www.legis.iowa.gov/docs/iac/rule/567.113.10.pdf" Type="http://schemas.openxmlformats.org/officeDocument/2006/relationships/hyperlink" Id="rId210"/>
    <Relationship TargetMode="External" Target="https://www.legis.iowa.gov/docs/iac/rule/567.113.10.pdf" Type="http://schemas.openxmlformats.org/officeDocument/2006/relationships/hyperlink" Id="rId211"/>
    <Relationship TargetMode="External" Target="https://www.legis.iowa.gov/docs/iac/rule/567.113.10.pdf" Type="http://schemas.openxmlformats.org/officeDocument/2006/relationships/hyperlink" Id="rId212"/>
    <Relationship TargetMode="External" Target="https://www.legis.iowa.gov/docs/iac/rule/567.113.10.pdf" Type="http://schemas.openxmlformats.org/officeDocument/2006/relationships/hyperlink" Id="rId213"/>
    <Relationship TargetMode="External" Target="https://www.legis.iowa.gov/docs/iac/rule/567.113.10.pdf" Type="http://schemas.openxmlformats.org/officeDocument/2006/relationships/hyperlink" Id="rId214"/>
    <Relationship TargetMode="External" Target="https://www.legis.iowa.gov/docs/iac/rule/567.113.10.pdf" Type="http://schemas.openxmlformats.org/officeDocument/2006/relationships/hyperlink" Id="rId215"/>
    <Relationship TargetMode="External" Target="https://www.legis.iowa.gov/docs/iac/rule/567.113.10.pdf" Type="http://schemas.openxmlformats.org/officeDocument/2006/relationships/hyperlink" Id="rId216"/>
    <Relationship TargetMode="External" Target="https://www.legis.iowa.gov/docs/iac/rule/567.113.10.pdf" Type="http://schemas.openxmlformats.org/officeDocument/2006/relationships/hyperlink" Id="rId217"/>
    <Relationship TargetMode="External" Target="https://www.legis.iowa.gov/docs/iac/rule/567.113.10.pdf" Type="http://schemas.openxmlformats.org/officeDocument/2006/relationships/hyperlink" Id="rId218"/>
    <Relationship TargetMode="External" Target="https://www.legis.iowa.gov/docs/iac/rule/567.113.10.pdf" Type="http://schemas.openxmlformats.org/officeDocument/2006/relationships/hyperlink" Id="rId219"/>
    <Relationship TargetMode="External" Target="https://www.legis.iowa.gov/docs/iac/rule/567.113.10.pdf" Type="http://schemas.openxmlformats.org/officeDocument/2006/relationships/hyperlink" Id="rId220"/>
    <Relationship TargetMode="External" Target="https://www.legis.iowa.gov/docs/iac/rule/567.113.10.pdf" Type="http://schemas.openxmlformats.org/officeDocument/2006/relationships/hyperlink" Id="rId221"/>
    <Relationship TargetMode="External" Target="https://www.legis.iowa.gov/docs/iac/rule/567.113.10.pdf" Type="http://schemas.openxmlformats.org/officeDocument/2006/relationships/hyperlink" Id="rId222"/>
    <Relationship TargetMode="External" Target="https://www.legis.iowa.gov/docs/iac/rule/567.113.10.pdf" Type="http://schemas.openxmlformats.org/officeDocument/2006/relationships/hyperlink" Id="rId223"/>
    <Relationship TargetMode="External" Target="https://www.legis.iowa.gov/docs/iac/rule/567.113.10.pdf" Type="http://schemas.openxmlformats.org/officeDocument/2006/relationships/hyperlink" Id="rId224"/>
    <Relationship TargetMode="External" Target="https://www.legis.iowa.gov/docs/iac/rule/567.113.10.pdf" Type="http://schemas.openxmlformats.org/officeDocument/2006/relationships/hyperlink" Id="rId225"/>
    <Relationship TargetMode="External" Target="https://www.legis.iowa.gov/docs/iac/rule/567.113.10.pdf" Type="http://schemas.openxmlformats.org/officeDocument/2006/relationships/hyperlink" Id="rId226"/>
    <Relationship TargetMode="External" Target="https://www.legis.iowa.gov/docs/iac/rule/567.113.10.pdf" Type="http://schemas.openxmlformats.org/officeDocument/2006/relationships/hyperlink" Id="rId227"/>
    <Relationship TargetMode="External" Target="https://www.legis.iowa.gov/docs/iac/rule/567.113.10.pdf" Type="http://schemas.openxmlformats.org/officeDocument/2006/relationships/hyperlink" Id="rId228"/>
    <Relationship TargetMode="External" Target="https://www.legis.iowa.gov/docs/iac/rule/567.113.10.pdf" Type="http://schemas.openxmlformats.org/officeDocument/2006/relationships/hyperlink" Id="rId229"/>
    <Relationship TargetMode="External" Target="https://www.legis.iowa.gov/docs/iac/rule/567.113.10.pdf" Type="http://schemas.openxmlformats.org/officeDocument/2006/relationships/hyperlink" Id="rId230"/>
    <Relationship TargetMode="External" Target="https://www.legis.iowa.gov/docs/iac/rule/567.113.10.pdf" Type="http://schemas.openxmlformats.org/officeDocument/2006/relationships/hyperlink" Id="rId231"/>
    <Relationship TargetMode="External" Target="https://www.legis.iowa.gov/docs/iac/rule/567.113.10.pdf" Type="http://schemas.openxmlformats.org/officeDocument/2006/relationships/hyperlink" Id="rId232"/>
    <Relationship TargetMode="External" Target="https://www.legis.iowa.gov/docs/iac/rule/567.113.10.pdf" Type="http://schemas.openxmlformats.org/officeDocument/2006/relationships/hyperlink" Id="rId233"/>
    <Relationship TargetMode="External" Target="https://www.legis.iowa.gov/docs/iac/rule/567.113.10.pdf" Type="http://schemas.openxmlformats.org/officeDocument/2006/relationships/hyperlink" Id="rId234"/>
    <Relationship TargetMode="External" Target="https://www.legis.iowa.gov/docs/iac/rule/567.113.10.pdf" Type="http://schemas.openxmlformats.org/officeDocument/2006/relationships/hyperlink" Id="rId235"/>
    <Relationship TargetMode="External" Target="https://www.legis.iowa.gov/docs/iac/rule/567.113.10.pdf" Type="http://schemas.openxmlformats.org/officeDocument/2006/relationships/hyperlink" Id="rId236"/>
    <Relationship TargetMode="External" Target="https://www.legis.iowa.gov/docs/iac/rule/567.113.10.pdf" Type="http://schemas.openxmlformats.org/officeDocument/2006/relationships/hyperlink" Id="rId237"/>
    <Relationship TargetMode="External" Target="https://www.legis.iowa.gov/docs/iac/rule/567.113.10.pdf" Type="http://schemas.openxmlformats.org/officeDocument/2006/relationships/hyperlink" Id="rId238"/>
    <Relationship TargetMode="External" Target="https://www.legis.iowa.gov/docs/iac/rule/567.113.10.pdf" Type="http://schemas.openxmlformats.org/officeDocument/2006/relationships/hyperlink" Id="rId239"/>
    <Relationship TargetMode="External" Target="https://www.legis.iowa.gov/docs/iac/rule/567.113.10.pdf" Type="http://schemas.openxmlformats.org/officeDocument/2006/relationships/hyperlink" Id="rId240"/>
    <Relationship TargetMode="External" Target="https://www.legis.iowa.gov/docs/iac/rule/567.113.10.pdf" Type="http://schemas.openxmlformats.org/officeDocument/2006/relationships/hyperlink" Id="rId241"/>
    <Relationship TargetMode="External" Target="https://www.legis.iowa.gov/docs/iac/rule/567.113.10.pdf" Type="http://schemas.openxmlformats.org/officeDocument/2006/relationships/hyperlink" Id="rId242"/>
    <Relationship TargetMode="External" Target="https://www.legis.iowa.gov/docs/iac/rule/567.113.10.pdf" Type="http://schemas.openxmlformats.org/officeDocument/2006/relationships/hyperlink" Id="rId243"/>
    <Relationship TargetMode="External" Target="https://www.legis.iowa.gov/docs/iac/rule/567.113.10.pdf" Type="http://schemas.openxmlformats.org/officeDocument/2006/relationships/hyperlink" Id="rId244"/>
    <Relationship TargetMode="External" Target="https://www.legis.iowa.gov/docs/iac/rule/567.113.10.pdf" Type="http://schemas.openxmlformats.org/officeDocument/2006/relationships/hyperlink" Id="rId245"/>
    <Relationship TargetMode="External" Target="https://www.legis.iowa.gov/docs/iac/rule/567.113.10.pdf" Type="http://schemas.openxmlformats.org/officeDocument/2006/relationships/hyperlink" Id="rId246"/>
    <Relationship TargetMode="External" Target="https://www.legis.iowa.gov/docs/iac/rule/567.113.10.pdf" Type="http://schemas.openxmlformats.org/officeDocument/2006/relationships/hyperlink" Id="rId247"/>
    <Relationship TargetMode="External" Target="https://www.legis.iowa.gov/docs/iac/rule/567.113.10.pdf" Type="http://schemas.openxmlformats.org/officeDocument/2006/relationships/hyperlink" Id="rId248"/>
    <Relationship TargetMode="External" Target="https://www.legis.iowa.gov/docs/iac/rule/567.113.10.pdf" Type="http://schemas.openxmlformats.org/officeDocument/2006/relationships/hyperlink" Id="rId249"/>
    <Relationship TargetMode="External" Target="https://www.legis.iowa.gov/docs/iac/rule/567.113.10.pdf" Type="http://schemas.openxmlformats.org/officeDocument/2006/relationships/hyperlink" Id="rId250"/>
    <Relationship TargetMode="External" Target="https://www.legis.iowa.gov/docs/iac/rule/567.113.10.pdf" Type="http://schemas.openxmlformats.org/officeDocument/2006/relationships/hyperlink" Id="rId251"/>
    <Relationship TargetMode="External" Target="https://www.legis.iowa.gov/docs/iac/rule/567.113.10.pdf" Type="http://schemas.openxmlformats.org/officeDocument/2006/relationships/hyperlink" Id="rId252"/>
    <Relationship TargetMode="External" Target="https://www.legis.iowa.gov/docs/iac/rule/567.113.10.pdf" Type="http://schemas.openxmlformats.org/officeDocument/2006/relationships/hyperlink" Id="rId253"/>
    <Relationship TargetMode="External" Target="https://www.legis.iowa.gov/docs/iac/chapter/567.137.pdf" Type="http://schemas.openxmlformats.org/officeDocument/2006/relationships/hyperlink" Id="rId254"/>
    <Relationship TargetMode="External" Target="https://www.legis.iowa.gov/docs/iac/rule/567.113.10.pdf" Type="http://schemas.openxmlformats.org/officeDocument/2006/relationships/hyperlink" Id="rId255"/>
    <Relationship TargetMode="External" Target="https://www.legis.iowa.gov/docs/iac/rule/567.113.10.pdf" Type="http://schemas.openxmlformats.org/officeDocument/2006/relationships/hyperlink" Id="rId256"/>
    <Relationship TargetMode="External" Target="https://www.legis.iowa.gov/docs/iac/rule/567.113.10.pdf" Type="http://schemas.openxmlformats.org/officeDocument/2006/relationships/hyperlink" Id="rId257"/>
    <Relationship TargetMode="External" Target="https://www.legis.iowa.gov/docs/iac/rule/567.113.10.pdf" Type="http://schemas.openxmlformats.org/officeDocument/2006/relationships/hyperlink" Id="rId258"/>
    <Relationship TargetMode="External" Target="https://www.legis.iowa.gov/docs/iac/rule/567.113.10.pdf" Type="http://schemas.openxmlformats.org/officeDocument/2006/relationships/hyperlink" Id="rId259"/>
    <Relationship TargetMode="External" Target="https://www.legis.iowa.gov/docs/iac/rule/567.113.10.pdf" Type="http://schemas.openxmlformats.org/officeDocument/2006/relationships/hyperlink" Id="rId260"/>
    <Relationship TargetMode="External" Target="https://www.legis.iowa.gov/docs/iac/rule/567.113.10.pdf" Type="http://schemas.openxmlformats.org/officeDocument/2006/relationships/hyperlink" Id="rId261"/>
    <Relationship TargetMode="External" Target="https://www.legis.iowa.gov/docs/iac/rule/567.113.10.pdf" Type="http://schemas.openxmlformats.org/officeDocument/2006/relationships/hyperlink" Id="rId262"/>
    <Relationship TargetMode="External" Target="https://www.legis.iowa.gov/docs/iac/rule/567.113.10.pdf" Type="http://schemas.openxmlformats.org/officeDocument/2006/relationships/hyperlink" Id="rId263"/>
    <Relationship TargetMode="External" Target="https://www.legis.iowa.gov/docs/iac/rule/567.113.10.pdf" Type="http://schemas.openxmlformats.org/officeDocument/2006/relationships/hyperlink" Id="rId264"/>
    <Relationship TargetMode="External" Target="https://www.legis.iowa.gov/docs/iac/rule/567.113.10.pdf" Type="http://schemas.openxmlformats.org/officeDocument/2006/relationships/hyperlink" Id="rId265"/>
    <Relationship TargetMode="External" Target="https://www.legis.iowa.gov/docs/iac/rule/567.113.10.pdf" Type="http://schemas.openxmlformats.org/officeDocument/2006/relationships/hyperlink" Id="rId266"/>
    <Relationship TargetMode="External" Target="https://www.legis.iowa.gov/docs/iac/rule/567.113.10.pdf" Type="http://schemas.openxmlformats.org/officeDocument/2006/relationships/hyperlink" Id="rId267"/>
    <Relationship TargetMode="External" Target="https://www.legis.iowa.gov/docs/iac/rule/567.113.10.pdf" Type="http://schemas.openxmlformats.org/officeDocument/2006/relationships/hyperlink" Id="rId268"/>
    <Relationship TargetMode="External" Target="https://www.legis.iowa.gov/docs/iac/rule/567.113.10.pdf" Type="http://schemas.openxmlformats.org/officeDocument/2006/relationships/hyperlink" Id="rId269"/>
    <Relationship TargetMode="External" Target="https://www.legis.iowa.gov/docs/iac/rule/567.113.10.pdf" Type="http://schemas.openxmlformats.org/officeDocument/2006/relationships/hyperlink" Id="rId270"/>
    <Relationship TargetMode="External" Target="https://www.legis.iowa.gov/docs/iac/rule/567.113.10.pdf" Type="http://schemas.openxmlformats.org/officeDocument/2006/relationships/hyperlink" Id="rId271"/>
    <Relationship TargetMode="External" Target="https://www.legis.iowa.gov/docs/iac/rule/567.113.10.pdf" Type="http://schemas.openxmlformats.org/officeDocument/2006/relationships/hyperlink" Id="rId272"/>
    <Relationship TargetMode="External" Target="https://www.legis.iowa.gov/docs/iac/rule/567.113.10.pdf" Type="http://schemas.openxmlformats.org/officeDocument/2006/relationships/hyperlink" Id="rId273"/>
    <Relationship TargetMode="External" Target="https://www.legis.iowa.gov/docs/iac/rule/567.113.10.pdf" Type="http://schemas.openxmlformats.org/officeDocument/2006/relationships/hyperlink" Id="rId274"/>
    <Relationship TargetMode="External" Target="https://www.legis.iowa.gov/docs/iac/rule/567.113.10.pdf" Type="http://schemas.openxmlformats.org/officeDocument/2006/relationships/hyperlink" Id="rId275"/>
    <Relationship TargetMode="External" Target="https://www.legis.iowa.gov/docs/iac/rule/567.113.10.pdf" Type="http://schemas.openxmlformats.org/officeDocument/2006/relationships/hyperlink" Id="rId276"/>
    <Relationship TargetMode="External" Target="https://www.legis.iowa.gov/docs/iac/rule/567.113.10.pdf" Type="http://schemas.openxmlformats.org/officeDocument/2006/relationships/hyperlink" Id="rId277"/>
    <Relationship TargetMode="External" Target="https://www.legis.iowa.gov/docs/iac/rule/567.113.10.pdf" Type="http://schemas.openxmlformats.org/officeDocument/2006/relationships/hyperlink" Id="rId278"/>
    <Relationship TargetMode="External" Target="https://www.legis.iowa.gov/docs/iac/rule/567.113.10.pdf" Type="http://schemas.openxmlformats.org/officeDocument/2006/relationships/hyperlink" Id="rId279"/>
    <Relationship TargetMode="External" Target="https://www.legis.iowa.gov/docs/iac/rule/567.113.10.pdf" Type="http://schemas.openxmlformats.org/officeDocument/2006/relationships/hyperlink" Id="rId280"/>
    <Relationship TargetMode="External" Target="https://www.legis.iowa.gov/docs/iac/rule/567.113.10.pdf" Type="http://schemas.openxmlformats.org/officeDocument/2006/relationships/hyperlink" Id="rId281"/>
    <Relationship TargetMode="External" Target="https://www.legis.iowa.gov/docs/iac/rule/567.113.10.pdf" Type="http://schemas.openxmlformats.org/officeDocument/2006/relationships/hyperlink" Id="rId282"/>
    <Relationship TargetMode="External" Target="https://www.legis.iowa.gov/docs/iac/rule/567.113.10.pdf" Type="http://schemas.openxmlformats.org/officeDocument/2006/relationships/hyperlink" Id="rId283"/>
    <Relationship TargetMode="External" Target="https://www.legis.iowa.gov/docs/iac/rule/567.113.10.pdf" Type="http://schemas.openxmlformats.org/officeDocument/2006/relationships/hyperlink" Id="rId284"/>
    <Relationship TargetMode="External" Target="https://www.legis.iowa.gov/docs/iac/rule/567.113.10.pdf" Type="http://schemas.openxmlformats.org/officeDocument/2006/relationships/hyperlink" Id="rId285"/>
    <Relationship TargetMode="External" Target="https://www.legis.iowa.gov/docs/iac/rule/567.113.10.pdf" Type="http://schemas.openxmlformats.org/officeDocument/2006/relationships/hyperlink" Id="rId286"/>
    <Relationship TargetMode="External" Target="https://www.legis.iowa.gov/docs/iac/rule/567.113.10.pdf" Type="http://schemas.openxmlformats.org/officeDocument/2006/relationships/hyperlink" Id="rId287"/>
    <Relationship TargetMode="External" Target="https://www.legis.iowa.gov/docs/iac/rule/567.113.10.pdf" Type="http://schemas.openxmlformats.org/officeDocument/2006/relationships/hyperlink" Id="rId288"/>
    <Relationship TargetMode="External" Target="https://www.legis.iowa.gov/docs/iac/rule/567.113.10.pdf" Type="http://schemas.openxmlformats.org/officeDocument/2006/relationships/hyperlink" Id="rId289"/>
    <Relationship TargetMode="External" Target="https://www.legis.iowa.gov/docs/iac/rule/567.113.10.pdf" Type="http://schemas.openxmlformats.org/officeDocument/2006/relationships/hyperlink" Id="rId290"/>
    <Relationship TargetMode="External" Target="https://www.legis.iowa.gov/docs/iac/rule/567.113.10.pdf" Type="http://schemas.openxmlformats.org/officeDocument/2006/relationships/hyperlink" Id="rId291"/>
    <Relationship TargetMode="External" Target="https://www.legis.iowa.gov/docs/iac/rule/567.113.10.pdf" Type="http://schemas.openxmlformats.org/officeDocument/2006/relationships/hyperlink" Id="rId292"/>
    <Relationship TargetMode="External" Target="https://www.legis.iowa.gov/docs/iac/rule/567.113.10.pdf" Type="http://schemas.openxmlformats.org/officeDocument/2006/relationships/hyperlink" Id="rId293"/>
    <Relationship TargetMode="External" Target="https://www.legis.iowa.gov/docs/iac/rule/567.113.10.pdf" Type="http://schemas.openxmlformats.org/officeDocument/2006/relationships/hyperlink" Id="rId294"/>
    <Relationship TargetMode="External" Target="https://www.legis.iowa.gov/docs/iac/rule/567.113.10.pdf" Type="http://schemas.openxmlformats.org/officeDocument/2006/relationships/hyperlink" Id="rId295"/>
    <Relationship TargetMode="External" Target="https://www.legis.iowa.gov/docs/iac/rule/567.113.10.pdf" Type="http://schemas.openxmlformats.org/officeDocument/2006/relationships/hyperlink" Id="rId296"/>
    <Relationship TargetMode="External" Target="https://www.legis.iowa.gov/docs/iac/rule/567.113.10.pdf" Type="http://schemas.openxmlformats.org/officeDocument/2006/relationships/hyperlink" Id="rId297"/>
    <Relationship TargetMode="External" Target="https://www.legis.iowa.gov/docs/iac/rule/567.113.14.pdf" Type="http://schemas.openxmlformats.org/officeDocument/2006/relationships/hyperlink" Id="rId298"/>
    <Relationship TargetMode="External" Target="https://www.legis.iowa.gov/docs/iac/rule/567.113.11.pdf" Type="http://schemas.openxmlformats.org/officeDocument/2006/relationships/hyperlink" Id="rId299"/>
    <Relationship TargetMode="External" Target="https://www.legis.iowa.gov/docs/iac/rule/567.113.11.pdf" Type="http://schemas.openxmlformats.org/officeDocument/2006/relationships/hyperlink" Id="rId300"/>
    <Relationship TargetMode="External" Target="https://www.legis.iowa.gov/docs/iac/rule/567.113.6.pdf" Type="http://schemas.openxmlformats.org/officeDocument/2006/relationships/hyperlink" Id="rId301"/>
    <Relationship TargetMode="External" Target="https://www.legis.iowa.gov/docs/iac/rule/567.113.10.pdf" Type="http://schemas.openxmlformats.org/officeDocument/2006/relationships/hyperlink" Id="rId302"/>
    <Relationship TargetMode="External" Target="https://www.legis.iowa.gov/docs/iac/rule/567.113.5.pdf" Type="http://schemas.openxmlformats.org/officeDocument/2006/relationships/hyperlink" Id="rId303"/>
    <Relationship TargetMode="External" Target="https://www.legis.iowa.gov/docs/iac/rule/567.113.6.pdf" Type="http://schemas.openxmlformats.org/officeDocument/2006/relationships/hyperlink" Id="rId304"/>
    <Relationship TargetMode="External" Target="https://www.legis.iowa.gov/docs/iac/rule/567.113.7.pdf" Type="http://schemas.openxmlformats.org/officeDocument/2006/relationships/hyperlink" Id="rId305"/>
    <Relationship TargetMode="External" Target="https://www.legis.iowa.gov/docs/iac/rule/567.113.7.pdf" Type="http://schemas.openxmlformats.org/officeDocument/2006/relationships/hyperlink" Id="rId306"/>
    <Relationship TargetMode="External" Target="https://www.legis.iowa.gov/docs/iac/rule/567.113.8.pdf" Type="http://schemas.openxmlformats.org/officeDocument/2006/relationships/hyperlink" Id="rId307"/>
    <Relationship TargetMode="External" Target="https://www.legis.iowa.gov/docs/iac/rule/567.113.8.pdf" Type="http://schemas.openxmlformats.org/officeDocument/2006/relationships/hyperlink" Id="rId308"/>
    <Relationship TargetMode="External" Target="https://www.legis.iowa.gov/docs/iac/rule/567.113.9.pdf" Type="http://schemas.openxmlformats.org/officeDocument/2006/relationships/hyperlink" Id="rId309"/>
    <Relationship TargetMode="External" Target="https://www.legis.iowa.gov/docs/iac/rule/567.113.10.pdf" Type="http://schemas.openxmlformats.org/officeDocument/2006/relationships/hyperlink" Id="rId310"/>
    <Relationship TargetMode="External" Target="https://www.legis.iowa.gov/docs/iac/rule/567.113.12.pdf" Type="http://schemas.openxmlformats.org/officeDocument/2006/relationships/hyperlink" Id="rId311"/>
    <Relationship TargetMode="External" Target="https://www.legis.iowa.gov/docs/iac/rule/567.113.13.pdf" Type="http://schemas.openxmlformats.org/officeDocument/2006/relationships/hyperlink" Id="rId312"/>
    <Relationship TargetMode="External" Target="https://www.legis.iowa.gov/docs/iac/rule/567.113.11.pdf" Type="http://schemas.openxmlformats.org/officeDocument/2006/relationships/hyperlink" Id="rId313"/>
    <Relationship TargetMode="External" Target="https://www.legis.iowa.gov/docs/iac/rule/567.113.12.pdf" Type="http://schemas.openxmlformats.org/officeDocument/2006/relationships/hyperlink" Id="rId314"/>
    <Relationship TargetMode="External" Target="https://www.legis.iowa.gov/docs/iac/rule/567.113.12.pdf" Type="http://schemas.openxmlformats.org/officeDocument/2006/relationships/hyperlink" Id="rId315"/>
    <Relationship TargetMode="External" Target="https://www.legis.iowa.gov/docs/iac/rule/567.113.12.pdf" Type="http://schemas.openxmlformats.org/officeDocument/2006/relationships/hyperlink" Id="rId316"/>
    <Relationship TargetMode="External" Target="https://www.legis.iowa.gov/docs/iac/rule/567.113.12.pdf" Type="http://schemas.openxmlformats.org/officeDocument/2006/relationships/hyperlink" Id="rId317"/>
    <Relationship TargetMode="External" Target="https://www.legis.iowa.gov/docs/iac/rule/567.113.12.pdf" Type="http://schemas.openxmlformats.org/officeDocument/2006/relationships/hyperlink" Id="rId318"/>
    <Relationship TargetMode="External" Target="https://www.legis.iowa.gov/docs/iac/rule/567.113.12.pdf" Type="http://schemas.openxmlformats.org/officeDocument/2006/relationships/hyperlink" Id="rId319"/>
    <Relationship TargetMode="External" Target="https://www.legis.iowa.gov/docs/iac/rule/567.113.12.pdf" Type="http://schemas.openxmlformats.org/officeDocument/2006/relationships/hyperlink" Id="rId320"/>
    <Relationship TargetMode="External" Target="https://www.legis.iowa.gov/docs/iac/rule/567.113.12.pdf" Type="http://schemas.openxmlformats.org/officeDocument/2006/relationships/hyperlink" Id="rId321"/>
    <Relationship TargetMode="External" Target="https://www.legis.iowa.gov/docs/iac/rule/567.113.12.pdf" Type="http://schemas.openxmlformats.org/officeDocument/2006/relationships/hyperlink" Id="rId322"/>
    <Relationship TargetMode="External" Target="https://www.legis.iowa.gov/docs/iac/rule/567.113.12.pdf" Type="http://schemas.openxmlformats.org/officeDocument/2006/relationships/hyperlink" Id="rId323"/>
    <Relationship TargetMode="External" Target="https://www.legis.iowa.gov/docs/iac/rule/567.113.12.pdf" Type="http://schemas.openxmlformats.org/officeDocument/2006/relationships/hyperlink" Id="rId324"/>
    <Relationship TargetMode="External" Target="https://www.legis.iowa.gov/docs/iac/rule/567.113.12.pdf" Type="http://schemas.openxmlformats.org/officeDocument/2006/relationships/hyperlink" Id="rId325"/>
    <Relationship TargetMode="External" Target="https://www.legis.iowa.gov/docs/iac/rule/567.113.12.pdf" Type="http://schemas.openxmlformats.org/officeDocument/2006/relationships/hyperlink" Id="rId326"/>
    <Relationship TargetMode="External" Target="https://www.legis.iowa.gov/docs/iac/rule/567.113.13.pdf" Type="http://schemas.openxmlformats.org/officeDocument/2006/relationships/hyperlink" Id="rId327"/>
    <Relationship TargetMode="External" Target="https://www.legis.iowa.gov/docs/iac/rule/567.113.13.pdf" Type="http://schemas.openxmlformats.org/officeDocument/2006/relationships/hyperlink" Id="rId328"/>
    <Relationship TargetMode="External" Target="https://www.legis.iowa.gov/docs/iac/rule/567.113.7.pdf" Type="http://schemas.openxmlformats.org/officeDocument/2006/relationships/hyperlink" Id="rId329"/>
    <Relationship TargetMode="External" Target="https://www.legis.iowa.gov/docs/iac/rule/567.113.8.pdf" Type="http://schemas.openxmlformats.org/officeDocument/2006/relationships/hyperlink" Id="rId330"/>
    <Relationship TargetMode="External" Target="https://www.legis.iowa.gov/docs/iac/rule/567.113.10.pdf" Type="http://schemas.openxmlformats.org/officeDocument/2006/relationships/hyperlink" Id="rId331"/>
    <Relationship TargetMode="External" Target="https://www.legis.iowa.gov/docs/iac/rule/567.113.9.pdf" Type="http://schemas.openxmlformats.org/officeDocument/2006/relationships/hyperlink" Id="rId332"/>
    <Relationship TargetMode="External" Target="https://www.legis.iowa.gov/docs/iac/rule/567.113.13.pdf" Type="http://schemas.openxmlformats.org/officeDocument/2006/relationships/hyperlink" Id="rId333"/>
    <Relationship TargetMode="External" Target="https://www.legis.iowa.gov/docs/ico/chapter/455B.304.pdf" Type="http://schemas.openxmlformats.org/officeDocument/2006/relationships/hyperlink" Id="rId334"/>
    <Relationship TargetMode="External" Target="https://www.legis.iowa.gov/docs/ico/chapter/455B.306.pdf" Type="http://schemas.openxmlformats.org/officeDocument/2006/relationships/hyperlink" Id="rId335"/>
    <Relationship TargetMode="External" Target="https://www.legis.iowa.gov/docs/iac/rule/567.113.12.pdf" Type="http://schemas.openxmlformats.org/officeDocument/2006/relationships/hyperlink" Id="rId336"/>
    <Relationship TargetMode="External" Target="https://www.legis.iowa.gov/docs/iac/rule/567.113.14.pdf" Type="http://schemas.openxmlformats.org/officeDocument/2006/relationships/hyperlink" Id="rId337"/>
    <Relationship TargetMode="External" Target="https://www.legis.iowa.gov/docs/iac/rule/567.113.14.pdf" Type="http://schemas.openxmlformats.org/officeDocument/2006/relationships/hyperlink" Id="rId338"/>
    <Relationship TargetMode="External" Target="https://www.legis.iowa.gov/docs/ico/chapter/455B.306.pdf" Type="http://schemas.openxmlformats.org/officeDocument/2006/relationships/hyperlink" Id="rId339"/>
    <Relationship TargetMode="External" Target="https://www.legis.iowa.gov/docs/ico/chapter/455B.306.pdf" Type="http://schemas.openxmlformats.org/officeDocument/2006/relationships/hyperlink" Id="rId340"/>
    <Relationship TargetMode="External" Target="https://www.legis.iowa.gov/docs/ico/chapter/455B.306.pdf" Type="http://schemas.openxmlformats.org/officeDocument/2006/relationships/hyperlink" Id="rId341"/>
    <Relationship TargetMode="External" Target="https://www.legis.iowa.gov/docs/iac/rule/567.113.14.pdf" Type="http://schemas.openxmlformats.org/officeDocument/2006/relationships/hyperlink" Id="rId342"/>
    <Relationship TargetMode="External" Target="https://www.legis.iowa.gov/docs/iac/rule/567.113.14.pdf" Type="http://schemas.openxmlformats.org/officeDocument/2006/relationships/hyperlink" Id="rId343"/>
    <Relationship TargetMode="External" Target="https://www.legis.iowa.gov/docs/iac/rule/567.113.14.pdf" Type="http://schemas.openxmlformats.org/officeDocument/2006/relationships/hyperlink" Id="rId344"/>
    <Relationship TargetMode="External" Target="https://www.legis.iowa.gov/docs/iac/rule/567.113.12.pdf" Type="http://schemas.openxmlformats.org/officeDocument/2006/relationships/hyperlink" Id="rId345"/>
    <Relationship TargetMode="External" Target="https://www.legis.iowa.gov/docs/iac/rule/567.113.14.pdf" Type="http://schemas.openxmlformats.org/officeDocument/2006/relationships/hyperlink" Id="rId346"/>
    <Relationship TargetMode="External" Target="https://www.legis.iowa.gov/docs/iac/rule/567.113.14.pdf" Type="http://schemas.openxmlformats.org/officeDocument/2006/relationships/hyperlink" Id="rId347"/>
    <Relationship TargetMode="External" Target="https://www.legis.iowa.gov/docs/iac/rule/567.113.14.pdf" Type="http://schemas.openxmlformats.org/officeDocument/2006/relationships/hyperlink" Id="rId348"/>
    <Relationship TargetMode="External" Target="https://www.legis.iowa.gov/docs/iac/rule/567.113.14.pdf" Type="http://schemas.openxmlformats.org/officeDocument/2006/relationships/hyperlink" Id="rId349"/>
    <Relationship TargetMode="External" Target="https://www.legis.iowa.gov/docs/ico/chapter/455B.306.pdf" Type="http://schemas.openxmlformats.org/officeDocument/2006/relationships/hyperlink" Id="rId350"/>
    <Relationship TargetMode="External" Target="https://www.legis.iowa.gov/docs/ico/chapter/455B.306.pdf" Type="http://schemas.openxmlformats.org/officeDocument/2006/relationships/hyperlink" Id="rId351"/>
    <Relationship TargetMode="External" Target="https://www.legis.iowa.gov/docs/ico/chapter/455B.306.pdf" Type="http://schemas.openxmlformats.org/officeDocument/2006/relationships/hyperlink" Id="rId352"/>
    <Relationship TargetMode="External" Target="https://www.legis.iowa.gov/docs/iac/rule/567.113.14.pdf" Type="http://schemas.openxmlformats.org/officeDocument/2006/relationships/hyperlink" Id="rId353"/>
    <Relationship TargetMode="External" Target="https://www.legis.iowa.gov/docs/iac/rule/567.113.14.pdf" Type="http://schemas.openxmlformats.org/officeDocument/2006/relationships/hyperlink" Id="rId354"/>
    <Relationship TargetMode="External" Target="https://www.legis.iowa.gov/docs/iac/rule/567.113.14.pdf" Type="http://schemas.openxmlformats.org/officeDocument/2006/relationships/hyperlink" Id="rId355"/>
    <Relationship TargetMode="External" Target="https://www.legis.iowa.gov/docs/iac/rule/567.113.5.pdf" Type="http://schemas.openxmlformats.org/officeDocument/2006/relationships/hyperlink" Id="rId356"/>
    <Relationship TargetMode="External" Target="https://www.legis.iowa.gov/docs/iac/rule/567.113.13.pdf" Type="http://schemas.openxmlformats.org/officeDocument/2006/relationships/hyperlink" Id="rId357"/>
    <Relationship TargetMode="External" Target="https://www.legis.iowa.gov/docs/iac/rule/567.113.14.pdf" Type="http://schemas.openxmlformats.org/officeDocument/2006/relationships/hyperlink" Id="rId358"/>
    <Relationship TargetMode="External" Target="https://www.legis.iowa.gov/docs/iac/rule/567.113.14.pdf" Type="http://schemas.openxmlformats.org/officeDocument/2006/relationships/hyperlink" Id="rId359"/>
    <Relationship TargetMode="External" Target="https://www.legis.iowa.gov/docs/iac/rule/567.113.9.pdf" Type="http://schemas.openxmlformats.org/officeDocument/2006/relationships/hyperlink" Id="rId360"/>
    <Relationship TargetMode="External" Target="https://www.legis.iowa.gov/docs/iac/rule/567.113.10.pdf" Type="http://schemas.openxmlformats.org/officeDocument/2006/relationships/hyperlink" Id="rId361"/>
    <Relationship TargetMode="External" Target="https://www.legis.iowa.gov/docs/iac/rule/567.113.14.pdf" Type="http://schemas.openxmlformats.org/officeDocument/2006/relationships/hyperlink" Id="rId362"/>
    <Relationship TargetMode="External" Target="https://www.legis.iowa.gov/docs/ico/chapter/455B.306.pdf" Type="http://schemas.openxmlformats.org/officeDocument/2006/relationships/hyperlink" Id="rId363"/>
    <Relationship TargetMode="External" Target="https://www.legis.iowa.gov/docs/iac/rule/567.113.14.pdf" Type="http://schemas.openxmlformats.org/officeDocument/2006/relationships/hyperlink" Id="rId364"/>
    <Relationship TargetMode="External" Target="https://www.legis.iowa.gov/docs/iac/rule/567.113.14.pdf" Type="http://schemas.openxmlformats.org/officeDocument/2006/relationships/hyperlink" Id="rId365"/>
    <Relationship TargetMode="External" Target="https://www.legis.iowa.gov/docs/iac/rule/567.113.14.pdf" Type="http://schemas.openxmlformats.org/officeDocument/2006/relationships/hyperlink" Id="rId366"/>
    <Relationship TargetMode="External" Target="https://www.legis.iowa.gov/docs/iac/rule/567.113.14.pdf" Type="http://schemas.openxmlformats.org/officeDocument/2006/relationships/hyperlink" Id="rId367"/>
    <Relationship TargetMode="External" Target="https://www.legis.iowa.gov/docs/iac/rule/567.113.14.pdf" Type="http://schemas.openxmlformats.org/officeDocument/2006/relationships/hyperlink" Id="rId368"/>
    <Relationship TargetMode="External" Target="https://www.legis.iowa.gov/docs/iac/rule/567.113.14.pdf" Type="http://schemas.openxmlformats.org/officeDocument/2006/relationships/hyperlink" Id="rId369"/>
    <Relationship TargetMode="External" Target="https://www.legis.iowa.gov/docs/iac/rule/567.113.14.pdf" Type="http://schemas.openxmlformats.org/officeDocument/2006/relationships/hyperlink" Id="rId370"/>
    <Relationship TargetMode="External" Target="https://www.legis.iowa.gov/docs/iac/rule/567.113.14.pdf" Type="http://schemas.openxmlformats.org/officeDocument/2006/relationships/hyperlink" Id="rId371"/>
    <Relationship TargetMode="External" Target="https://www.legis.iowa.gov/docs/iac/rule/567.113.14.pdf" Type="http://schemas.openxmlformats.org/officeDocument/2006/relationships/hyperlink" Id="rId372"/>
    <Relationship TargetMode="External" Target="https://www.legis.iowa.gov/docs/iac/rule/567.113.14.pdf" Type="http://schemas.openxmlformats.org/officeDocument/2006/relationships/hyperlink" Id="rId373"/>
    <Relationship TargetMode="External" Target="https://www.legis.iowa.gov/docs/iac/rule/567.113.14.pdf" Type="http://schemas.openxmlformats.org/officeDocument/2006/relationships/hyperlink" Id="rId374"/>
    <Relationship TargetMode="External" Target="https://www.legis.iowa.gov/docs/iac/rule/567.113.14.pdf" Type="http://schemas.openxmlformats.org/officeDocument/2006/relationships/hyperlink" Id="rId375"/>
    <Relationship TargetMode="External" Target="https://www.legis.iowa.gov/docs/iac/rule/567.113.14.pdf" Type="http://schemas.openxmlformats.org/officeDocument/2006/relationships/hyperlink" Id="rId376"/>
    <Relationship TargetMode="External" Target="https://www.legis.iowa.gov/docs/iac/rule/567.113.14.pdf" Type="http://schemas.openxmlformats.org/officeDocument/2006/relationships/hyperlink" Id="rId377"/>
    <Relationship TargetMode="External" Target="https://www.legis.iowa.gov/docs/ico/chapter/455B.306.pdf" Type="http://schemas.openxmlformats.org/officeDocument/2006/relationships/hyperlink" Id="rId378"/>
    <Relationship TargetMode="External" Target="https://www.legis.iowa.gov/docs/ico/chapter/455B.306.pdf" Type="http://schemas.openxmlformats.org/officeDocument/2006/relationships/hyperlink" Id="rId379"/>
    <Relationship TargetMode="External" Target="https://www.legis.iowa.gov/docs/iac/rule/567.113.14.pdf" Type="http://schemas.openxmlformats.org/officeDocument/2006/relationships/hyperlink" Id="rId380"/>
    <Relationship TargetMode="External" Target="https://www.legis.iowa.gov/docs/ico/chapter/455B.306.pdf" Type="http://schemas.openxmlformats.org/officeDocument/2006/relationships/hyperlink" Id="rId381"/>
    <Relationship TargetMode="External" Target="https://www.legis.iowa.gov/docs/iac/rule/567.113.14.pdf" Type="http://schemas.openxmlformats.org/officeDocument/2006/relationships/hyperlink" Id="rId382"/>
    <Relationship TargetMode="External" Target="https://www.legis.iowa.gov/docs/iac/rule/567.113.14.pdf" Type="http://schemas.openxmlformats.org/officeDocument/2006/relationships/hyperlink" Id="rId383"/>
    <Relationship TargetMode="External" Target="https://www.legis.iowa.gov/docs/iac/rule/567.113.14.pdf" Type="http://schemas.openxmlformats.org/officeDocument/2006/relationships/hyperlink" Id="rId384"/>
    <Relationship TargetMode="External" Target="https://www.legis.iowa.gov/docs/iac/rule/567.113.14.pdf" Type="http://schemas.openxmlformats.org/officeDocument/2006/relationships/hyperlink" Id="rId385"/>
    <Relationship TargetMode="External" Target="https://www.legis.iowa.gov/docs/iac/rule/567.113.14.pdf" Type="http://schemas.openxmlformats.org/officeDocument/2006/relationships/hyperlink" Id="rId386"/>
    <Relationship TargetMode="External" Target="https://www.legis.iowa.gov/docs/iac/rule/567.113.14.pdf" Type="http://schemas.openxmlformats.org/officeDocument/2006/relationships/hyperlink" Id="rId387"/>
    <Relationship TargetMode="External" Target="https://www.legis.iowa.gov/docs/iac/rule/567.113.14.pdf" Type="http://schemas.openxmlformats.org/officeDocument/2006/relationships/hyperlink" Id="rId388"/>
    <Relationship TargetMode="External" Target="https://www.legis.iowa.gov/docs/iac/rule/567.113.14.pdf" Type="http://schemas.openxmlformats.org/officeDocument/2006/relationships/hyperlink" Id="rId389"/>
    <Relationship TargetMode="External" Target="https://www.legis.iowa.gov/docs/iac/rule/567.113.14.pdf" Type="http://schemas.openxmlformats.org/officeDocument/2006/relationships/hyperlink" Id="rId390"/>
    <Relationship TargetMode="External" Target="https://www.legis.iowa.gov/docs/iac/rule/567.113.14.pdf" Type="http://schemas.openxmlformats.org/officeDocument/2006/relationships/hyperlink" Id="rId391"/>
    <Relationship TargetMode="External" Target="https://www.legis.iowa.gov/docs/iac/rule/567.113.14.pdf" Type="http://schemas.openxmlformats.org/officeDocument/2006/relationships/hyperlink" Id="rId392"/>
    <Relationship TargetMode="External" Target="https://www.legis.iowa.gov/docs/iac/rule/567.113.14.pdf" Type="http://schemas.openxmlformats.org/officeDocument/2006/relationships/hyperlink" Id="rId393"/>
    <Relationship TargetMode="External" Target="https://www.legis.iowa.gov/docs/iac/rule/567.113.14.pdf" Type="http://schemas.openxmlformats.org/officeDocument/2006/relationships/hyperlink" Id="rId394"/>
    <Relationship TargetMode="External" Target="https://www.legis.iowa.gov/docs/iac/rule/567.113.14.pdf" Type="http://schemas.openxmlformats.org/officeDocument/2006/relationships/hyperlink" Id="rId395"/>
    <Relationship TargetMode="External" Target="https://www.legis.iowa.gov/docs/iac/rule/567.113.14.pdf" Type="http://schemas.openxmlformats.org/officeDocument/2006/relationships/hyperlink" Id="rId396"/>
    <Relationship TargetMode="External" Target="https://www.legis.iowa.gov/docs/iac/rule/567.113.14.pdf" Type="http://schemas.openxmlformats.org/officeDocument/2006/relationships/hyperlink" Id="rId397"/>
    <Relationship TargetMode="External" Target="https://www.legis.iowa.gov/docs/iac/rule/567.113.14.pdf" Type="http://schemas.openxmlformats.org/officeDocument/2006/relationships/hyperlink" Id="rId398"/>
    <Relationship TargetMode="External" Target="https://www.legis.iowa.gov/docs/iac/rule/567.113.14.pdf" Type="http://schemas.openxmlformats.org/officeDocument/2006/relationships/hyperlink" Id="rId399"/>
    <Relationship TargetMode="External" Target="https://www.legis.iowa.gov/docs/iac/rule/567.113.14.pdf" Type="http://schemas.openxmlformats.org/officeDocument/2006/relationships/hyperlink" Id="rId400"/>
    <Relationship TargetMode="External" Target="https://www.legis.iowa.gov/docs/iac/rule/567.113.14.pdf" Type="http://schemas.openxmlformats.org/officeDocument/2006/relationships/hyperlink" Id="rId401"/>
    <Relationship TargetMode="External" Target="https://www.legis.iowa.gov/docs/iac/rule/567.113.14.pdf" Type="http://schemas.openxmlformats.org/officeDocument/2006/relationships/hyperlink" Id="rId402"/>
    <Relationship TargetMode="External" Target="https://www.legis.iowa.gov/docs/iac/rule/567.113.14.pdf" Type="http://schemas.openxmlformats.org/officeDocument/2006/relationships/hyperlink" Id="rId403"/>
    <Relationship TargetMode="External" Target="https://www.legis.iowa.gov/docs/iac/rule/567.113.14.pdf" Type="http://schemas.openxmlformats.org/officeDocument/2006/relationships/hyperlink" Id="rId404"/>
    <Relationship TargetMode="External" Target="https://www.legis.iowa.gov/docs/iac/rule/567.113.14.pdf" Type="http://schemas.openxmlformats.org/officeDocument/2006/relationships/hyperlink" Id="rId405"/>
    <Relationship TargetMode="External" Target="https://www.legis.iowa.gov/docs/iac/rule/567.113.14.pdf" Type="http://schemas.openxmlformats.org/officeDocument/2006/relationships/hyperlink" Id="rId406"/>
    <Relationship TargetMode="External" Target="https://www.legis.iowa.gov/docs/iac/rule/567.113.14.pdf" Type="http://schemas.openxmlformats.org/officeDocument/2006/relationships/hyperlink" Id="rId407"/>
    <Relationship TargetMode="External" Target="https://www.legis.iowa.gov/docs/iac/rule/567.113.14.pdf" Type="http://schemas.openxmlformats.org/officeDocument/2006/relationships/hyperlink" Id="rId408"/>
    <Relationship TargetMode="External" Target="https://www.legis.iowa.gov/docs/iac/rule/567.113.14.pdf" Type="http://schemas.openxmlformats.org/officeDocument/2006/relationships/hyperlink" Id="rId409"/>
    <Relationship TargetMode="External" Target="https://www.legis.iowa.gov/docs/iac/rule/567.113.14.pdf" Type="http://schemas.openxmlformats.org/officeDocument/2006/relationships/hyperlink" Id="rId410"/>
    <Relationship TargetMode="External" Target="https://www.legis.iowa.gov/docs/iac/rule/567.113.14.pdf" Type="http://schemas.openxmlformats.org/officeDocument/2006/relationships/hyperlink" Id="rId411"/>
    <Relationship TargetMode="External" Target="https://www.legis.iowa.gov/docs/iac/rule/567.113.14.pdf" Type="http://schemas.openxmlformats.org/officeDocument/2006/relationships/hyperlink" Id="rId412"/>
    <Relationship TargetMode="External" Target="https://www.legis.iowa.gov/docs/iac/rule/567.113.14.pdf" Type="http://schemas.openxmlformats.org/officeDocument/2006/relationships/hyperlink" Id="rId413"/>
    <Relationship TargetMode="External" Target="https://www.legis.iowa.gov/docs/iac/rule/567.113.14.pdf" Type="http://schemas.openxmlformats.org/officeDocument/2006/relationships/hyperlink" Id="rId414"/>
    <Relationship TargetMode="External" Target="https://www.legis.iowa.gov/docs/iac/rule/567.113.14.pdf" Type="http://schemas.openxmlformats.org/officeDocument/2006/relationships/hyperlink" Id="rId415"/>
    <Relationship TargetMode="External" Target="https://www.legis.iowa.gov/docs/ico/chapter/28E.pdf" Type="http://schemas.openxmlformats.org/officeDocument/2006/relationships/hyperlink" Id="rId416"/>
    <Relationship TargetMode="External" Target="https://www.legis.iowa.gov/docs/iac/rule/567.113.14.pdf" Type="http://schemas.openxmlformats.org/officeDocument/2006/relationships/hyperlink" Id="rId417"/>
    <Relationship TargetMode="External" Target="https://www.legis.iowa.gov/docs/iac/rule/567.113.14.pdf" Type="http://schemas.openxmlformats.org/officeDocument/2006/relationships/hyperlink" Id="rId418"/>
    <Relationship TargetMode="External" Target="https://www.legis.iowa.gov/docs/iac/rule/567.113.14.pdf" Type="http://schemas.openxmlformats.org/officeDocument/2006/relationships/hyperlink" Id="rId419"/>
    <Relationship TargetMode="External" Target="https://www.legis.iowa.gov/docs/iac/rule/567.113.14.pdf" Type="http://schemas.openxmlformats.org/officeDocument/2006/relationships/hyperlink" Id="rId420"/>
    <Relationship TargetMode="External" Target="https://www.legis.iowa.gov/docs/iac/rule/567.113.14.pdf" Type="http://schemas.openxmlformats.org/officeDocument/2006/relationships/hyperlink" Id="rId421"/>
    <Relationship TargetMode="External" Target="https://www.legis.iowa.gov/docs/iac/rule/567.113.14.pdf" Type="http://schemas.openxmlformats.org/officeDocument/2006/relationships/hyperlink" Id="rId422"/>
    <Relationship TargetMode="External" Target="https://www.legis.iowa.gov/docs/iac/rule/567.113.14.pdf" Type="http://schemas.openxmlformats.org/officeDocument/2006/relationships/hyperlink" Id="rId423"/>
    <Relationship TargetMode="External" Target="https://www.legis.iowa.gov/docs/iac/rule/567.113.14.pdf" Type="http://schemas.openxmlformats.org/officeDocument/2006/relationships/hyperlink" Id="rId424"/>
    <Relationship TargetMode="External" Target="https://www.legis.iowa.gov/docs/iac/rule/567.113.14.pdf" Type="http://schemas.openxmlformats.org/officeDocument/2006/relationships/hyperlink" Id="rId425"/>
    <Relationship TargetMode="External" Target="https://www.legis.iowa.gov/docs/iac/rule/567.113.14.pdf" Type="http://schemas.openxmlformats.org/officeDocument/2006/relationships/hyperlink" Id="rId426"/>
    <Relationship TargetMode="External" Target="https://www.legis.iowa.gov/docs/ico/chapter/455B.305.pdf" Type="http://schemas.openxmlformats.org/officeDocument/2006/relationships/hyperlink" Id="rId427"/>
    <Relationship TargetMode="External" Target="https://www.legis.iowa.gov/docs/iac/rule/567.113.14.pdf" Type="http://schemas.openxmlformats.org/officeDocument/2006/relationships/hyperlink" Id="rId428"/>
    <Relationship TargetMode="External" Target="https://www.legis.iowa.gov/docs/ico/chapter/455B.306.pdf" Type="http://schemas.openxmlformats.org/officeDocument/2006/relationships/hyperlink" Id="rId429"/>
    <Relationship TargetMode="External" Target="https://www.legis.iowa.gov/docs/iac/rule/567.113.14.pdf" Type="http://schemas.openxmlformats.org/officeDocument/2006/relationships/hyperlink" Id="rId430"/>
    <Relationship TargetMode="External" Target="https://www.legis.iowa.gov/docs/ico/chapter/12B.10.pdf" Type="http://schemas.openxmlformats.org/officeDocument/2006/relationships/hyperlink" Id="rId431"/>
    <Relationship TargetMode="External" Target="https://www.legis.iowa.gov/docs/iac/rule/567.113.14.pdf" Type="http://schemas.openxmlformats.org/officeDocument/2006/relationships/hyperlink" Id="rId432"/>
    <Relationship TargetMode="External" Target="https://www.legis.iowa.gov/docs/iac/rule/567.113.14.pdf" Type="http://schemas.openxmlformats.org/officeDocument/2006/relationships/hyperlink" Id="rId433"/>
    <Relationship TargetMode="External" Target="https://www.legis.iowa.gov/docs/iac/rule/567.113.14.pdf" Type="http://schemas.openxmlformats.org/officeDocument/2006/relationships/hyperlink" Id="rId434"/>
    <Relationship TargetMode="External" Target="https://www.legis.iowa.gov/docs/iac/rule/567.113.5.pdf" Type="http://schemas.openxmlformats.org/officeDocument/2006/relationships/hyperlink" Id="rId435"/>
    <Relationship TargetMode="External" Target="https://www.legis.iowa.gov/docs/iac/rule/567.113.14.pdf" Type="http://schemas.openxmlformats.org/officeDocument/2006/relationships/hyperlink" Id="rId436"/>
    <Relationship TargetMode="External" Target="https://www.legis.iowa.gov/docs/iac/rule/567.113.14.pdf" Type="http://schemas.openxmlformats.org/officeDocument/2006/relationships/hyperlink" Id="rId437"/>
    <Relationship TargetMode="External" Target="https://www.legis.iowa.gov/docs/iac/rule/567.113.14.pdf" Type="http://schemas.openxmlformats.org/officeDocument/2006/relationships/hyperlink" Id="rId438"/>
    <Relationship TargetMode="External" Target="https://www.legis.iowa.gov/docs/iac/rule/567.113.14.pdf" Type="http://schemas.openxmlformats.org/officeDocument/2006/relationships/hyperlink" Id="rId439"/>
    <Relationship TargetMode="External" Target="https://www.legis.iowa.gov/docs/iac/rule/567.113.14.pdf" Type="http://schemas.openxmlformats.org/officeDocument/2006/relationships/hyperlink" Id="rId440"/>
    <Relationship TargetMode="External" Target="https://www.legis.iowa.gov/docs/iac/rule/567.113.14.pdf" Type="http://schemas.openxmlformats.org/officeDocument/2006/relationships/hyperlink" Id="rId441"/>
    <Relationship TargetMode="External" Target="https://www.legis.iowa.gov/docs/ico/chapter/455B.306.pdf" Type="http://schemas.openxmlformats.org/officeDocument/2006/relationships/hyperlink" Id="rId442"/>
    <Relationship TargetMode="External" Target="https://www.legis.iowa.gov/docs/iac/rule/567.113.14.pdf" Type="http://schemas.openxmlformats.org/officeDocument/2006/relationships/hyperlink" Id="rId443"/>
    <Relationship TargetMode="External" Target="https://www.legis.iowa.gov/docs/iac/rule/567.113.14.pdf" Type="http://schemas.openxmlformats.org/officeDocument/2006/relationships/hyperlink" Id="rId444"/>
    <Relationship TargetMode="External" Target="https://www.legis.iowa.gov/docs/iac/rule/567.113.14.pdf" Type="http://schemas.openxmlformats.org/officeDocument/2006/relationships/hyperlink" Id="rId445"/>
    <Relationship TargetMode="External" Target="https://www.legis.iowa.gov/docs/iac/rule/567.113.14.pdf" Type="http://schemas.openxmlformats.org/officeDocument/2006/relationships/hyperlink" Id="rId446"/>
    <Relationship TargetMode="External" Target="https://www.legis.iowa.gov/docs/iac/rule/567.113.14.pdf" Type="http://schemas.openxmlformats.org/officeDocument/2006/relationships/hyperlink" Id="rId447"/>
    <Relationship TargetMode="External" Target="https://www.legis.iowa.gov/docs/iac/rule/567.113.14.pdf" Type="http://schemas.openxmlformats.org/officeDocument/2006/relationships/hyperlink" Id="rId448"/>
    <Relationship TargetMode="External" Target="https://www.legis.iowa.gov/docs/iac/rule/567.113.14.pdf" Type="http://schemas.openxmlformats.org/officeDocument/2006/relationships/hyperlink" Id="rId449"/>
    <Relationship TargetMode="External" Target="https://www.legis.iowa.gov/docs/ico/chapter/12B.10.pdf" Type="http://schemas.openxmlformats.org/officeDocument/2006/relationships/hyperlink" Id="rId450"/>
    <Relationship TargetMode="External" Target="https://www.legis.iowa.gov/docs/iac/chapter/561.10.pdf" Type="http://schemas.openxmlformats.org/officeDocument/2006/relationships/hyperlink" Id="rId451"/>
    <Relationship TargetMode="External" Target="https://www.legis.iowa.gov/docs/ico/chapter/455B.304.pdf" Type="http://schemas.openxmlformats.org/officeDocument/2006/relationships/hyperlink" Id="rId4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