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BENEFICIAL USE DETERMINATIONS:</w:t>
      </w:r>
      <w:r>
        <w:br/>
      </w:r>
      <w:r>
        <w:rPr>
          <w:rFonts w:ascii="Times New Roman" w:hAnsi="Times New Roman"/>
          <w:b w:val="false"/>
          <w:i w:val="false"/>
          <w:color w:val="000000"/>
          <w:sz w:val="21"/>
        </w:rPr>
        <w:t>SOLID BY-PRODUCTS AS RESOURCES AND ALTERNATIVE COVER MATERIAL</w:t>
      </w:r>
    </w:p>
    <w:p>
      <w:pPr>
        <w:spacing w:before="0" w:after="0"/>
        <w:ind w:left="120"/>
        <w:jc w:val="center"/>
      </w:pPr>
      <w:r>
        <w:rPr>
          <w:rFonts w:ascii="Times New Roman" w:hAnsi="Times New Roman"/>
          <w:b w:val="false"/>
          <w:i w:val="false"/>
          <w:color w:val="000000"/>
          <w:sz w:val="14"/>
        </w:rPr>
        <w:t>[Prior to 7/l/83, DEQ Ch 39]</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567—108.1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rules for determining when a solid by-product is a resource and not a solid waste. Solid by-products determined by the department not to be a solid waste through a beneficial use determination may not be subject to all sanitary disposal project (SDP) permitting requirements. Furthermore, the purpose of this chapter is to encourage the utilization of solid by-products as resources when such utilization improves, or at a minimum does not adversely affect, human health and the environment.</w:t>
      </w:r>
    </w:p>
    <w:p>
      <w:pPr>
        <w:spacing w:before="0" w:after="0"/>
        <w:ind w:left="120"/>
        <w:jc w:val="both"/>
      </w:pPr>
      <w:r>
        <w:rPr>
          <w:rFonts w:ascii="Times New Roman" w:hAnsi="Times New Roman"/>
          <w:b/>
          <w:i w:val="false"/>
          <w:color w:val="000000"/>
          <w:sz w:val="22"/>
        </w:rPr>
        <w:t>567—108.2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Applicability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w:t>
      </w:r>
      <w:r>
        <w:rPr>
          <w:rFonts w:ascii="Times New Roman" w:hAnsi="Times New Roman"/>
          <w:b w:val="false"/>
          <w:i w:val="false"/>
          <w:color w:val="000000"/>
          <w:sz w:val="22"/>
        </w:rPr>
        <w:t> </w:t>
      </w:r>
      <w:r>
        <w:rPr>
          <w:rFonts w:ascii="Times New Roman" w:hAnsi="Times New Roman"/>
          <w:b w:val="false"/>
          <w:i w:val="false"/>
          <w:color w:val="000000"/>
          <w:sz w:val="22"/>
        </w:rPr>
        <w:t>These rules apply to industrial, commercial, and institutional generators and users or proposed users of solid by-products and to sanitary landfills utilizing or desiring to utilize alternative cover material. These rules apply to solid by-products that before receiving a beneficial use determination by the department were being disposed of as solid waste. These rules do not apply to solid by-products that have already been disposed of as solid waste by the generator.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pertain to the land application of solid waste. For rules pertaining to the land application of solid waste, see </w:t>
      </w:r>
      <w:hyperlink r:id="rId5">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 xml:space="preserve">. However, for solid by-products that are land-applied pursuant to </w:t>
      </w:r>
      <w:hyperlink r:id="rId6">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 xml:space="preserve">, a variance from some or all of the requirements of </w:t>
      </w:r>
      <w:hyperlink r:id="rId7">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 xml:space="preserve"> may be gained through receipt of a beneficial use determination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pertain to solid waste processing operations pursuant to </w:t>
      </w:r>
      <w:hyperlink r:id="rId8">
        <w:r>
          <w:rPr>
            <w:rStyle w:val="Hyperlink"/>
            <w:rFonts w:ascii="Times New Roman" w:hAnsi="Times New Roman"/>
            <w:b w:val="false"/>
            <w:i w:val="false"/>
            <w:color w:val="000000"/>
            <w:sz w:val="22"/>
          </w:rPr>
          <w:t>567—Chapter 104</w:t>
        </w:r>
      </w:hyperlink>
      <w:r>
        <w:rPr>
          <w:rFonts w:ascii="Times New Roman" w:hAnsi="Times New Roman"/>
          <w:b w:val="false"/>
          <w:i w:val="false"/>
          <w:color w:val="000000"/>
          <w:sz w:val="22"/>
        </w:rPr>
        <w:t xml:space="preserve">. However, for solid by-products that are processed pursuant to </w:t>
      </w:r>
      <w:hyperlink r:id="rId9">
        <w:r>
          <w:rPr>
            <w:rStyle w:val="Hyperlink"/>
            <w:rFonts w:ascii="Times New Roman" w:hAnsi="Times New Roman"/>
            <w:b w:val="false"/>
            <w:i w:val="false"/>
            <w:color w:val="000000"/>
            <w:sz w:val="22"/>
          </w:rPr>
          <w:t>567—Chapter 104</w:t>
        </w:r>
      </w:hyperlink>
      <w:r>
        <w:rPr>
          <w:rFonts w:ascii="Times New Roman" w:hAnsi="Times New Roman"/>
          <w:b w:val="false"/>
          <w:i w:val="false"/>
          <w:color w:val="000000"/>
          <w:sz w:val="22"/>
        </w:rPr>
        <w:t xml:space="preserve">, a variance from some or all of the requirements of </w:t>
      </w:r>
      <w:hyperlink r:id="rId10">
        <w:r>
          <w:rPr>
            <w:rStyle w:val="Hyperlink"/>
            <w:rFonts w:ascii="Times New Roman" w:hAnsi="Times New Roman"/>
            <w:b w:val="false"/>
            <w:i w:val="false"/>
            <w:color w:val="000000"/>
            <w:sz w:val="22"/>
          </w:rPr>
          <w:t>567—Chapter 104</w:t>
        </w:r>
      </w:hyperlink>
      <w:r>
        <w:rPr>
          <w:rFonts w:ascii="Times New Roman" w:hAnsi="Times New Roman"/>
          <w:b w:val="false"/>
          <w:i w:val="false"/>
          <w:color w:val="000000"/>
          <w:sz w:val="22"/>
        </w:rPr>
        <w:t xml:space="preserve"> may be gained through receipt of a beneficial use determination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108.2(4)</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pertain to solid waste composting pursuant to </w:t>
      </w:r>
      <w:hyperlink r:id="rId11">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However, for solid by-products that are composted pursuant to </w:t>
      </w:r>
      <w:hyperlink r:id="rId12">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a variance from some or all of the requirements of </w:t>
      </w:r>
      <w:hyperlink r:id="rId13">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may be gained through receipt of a beneficial use determination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Beneficial use determinations granted by the department before April 23, 2003, shall remain in effect unless specifically addressed by these rules or by written notification pursuant to </w:t>
      </w:r>
      <w:hyperlink r:id="rId14">
        <w:r>
          <w:rPr>
            <w:rStyle w:val="Hyperlink"/>
            <w:rFonts w:ascii="Times New Roman" w:hAnsi="Times New Roman"/>
            <w:b w:val="false"/>
            <w:i w:val="false"/>
            <w:color w:val="000000"/>
            <w:sz w:val="22"/>
          </w:rPr>
          <w:t>567—108.11(455B,455D)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108.2(6)</w:t>
      </w:r>
      <w:r>
        <w:rPr>
          <w:rFonts w:ascii="Times New Roman" w:hAnsi="Times New Roman"/>
          <w:b w:val="false"/>
          <w:i w:val="false"/>
          <w:color w:val="000000"/>
          <w:sz w:val="22"/>
        </w:rPr>
        <w:t> </w:t>
      </w:r>
      <w:r>
        <w:rPr>
          <w:rFonts w:ascii="Times New Roman" w:hAnsi="Times New Roman"/>
          <w:b w:val="false"/>
          <w:i w:val="false"/>
          <w:color w:val="000000"/>
          <w:sz w:val="22"/>
        </w:rPr>
        <w:t>The issuance of a beneficial use determination by the department relieves the generator and user(s) of all Iowa solid waste requirements specifically noted in the written determination. Requirements that may be relieved by a beneficial use determination may include rules, SDP permits, and permit conditions and variances. Solid by-products that have not received a beneficial use determination by the department are subject to all of Iowa’s regulations pertaining to solid waste. The issuance of a beneficial use determination by the department in no way relieves the generator or user of the responsibility of complying with all other local, state, and federal statutes, ordinances, and rules or other applicable requirements.</w:t>
      </w:r>
    </w:p>
    <w:p>
      <w:pPr>
        <w:spacing w:before="0" w:after="0"/>
        <w:ind w:left="120"/>
        <w:jc w:val="both"/>
      </w:pPr>
      <w:r>
        <w:rPr>
          <w:rFonts w:ascii="Times New Roman" w:hAnsi="Times New Roman"/>
          <w:b/>
          <w:i w:val="false"/>
          <w:color w:val="000000"/>
          <w:sz w:val="22"/>
        </w:rPr>
        <w:t>567—108.3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following terms shall have the meaning indicated in this chapter. The definitions set out in Iowa Code section </w:t>
      </w:r>
      <w:hyperlink r:id="rId15">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be considered to be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cover material” </w:t>
      </w:r>
      <w:r>
        <w:rPr>
          <w:rFonts w:ascii="Times New Roman" w:hAnsi="Times New Roman"/>
          <w:b w:val="false"/>
          <w:i w:val="false"/>
          <w:color w:val="000000"/>
          <w:sz w:val="22"/>
        </w:rPr>
        <w:t>means a substitute material or mix of materials that can be utilized in lieu of soil as cover material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“Beneficial use” </w:t>
      </w:r>
      <w:r>
        <w:rPr>
          <w:rFonts w:ascii="Times New Roman" w:hAnsi="Times New Roman"/>
          <w:b w:val="false"/>
          <w:i w:val="false"/>
          <w:color w:val="000000"/>
          <w:sz w:val="22"/>
        </w:rPr>
        <w:t>means a specific utilization of a solid by-product as a resource, that constitutes reuse rather than disposal, does not adversely affect human health or the environment, and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“Beneficial use determination” </w:t>
      </w:r>
      <w:r>
        <w:rPr>
          <w:rFonts w:ascii="Times New Roman" w:hAnsi="Times New Roman"/>
          <w:b w:val="false"/>
          <w:i w:val="false"/>
          <w:color w:val="000000"/>
          <w:sz w:val="22"/>
        </w:rPr>
        <w:t>means a written formal decision or rule issued by the department as approval for a solid by-product to be utilized in a specific manner as a beneficial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“Coal combustion by-product” </w:t>
      </w:r>
      <w:r>
        <w:rPr>
          <w:rFonts w:ascii="Times New Roman" w:hAnsi="Times New Roman"/>
          <w:b w:val="false"/>
          <w:i w:val="false"/>
          <w:color w:val="000000"/>
          <w:sz w:val="22"/>
        </w:rPr>
        <w:t>means any solid by-product produced by the burning of coal, by itself or in conjunction with natural gas or other fossil fuel, which is suitable for disposal as solid waste in a sanitary landfill. Examples include boiler slag, bottom ash, fly ash, and flue gas desulfurization by-products from pollution control equipment. Coal combustion by-products are also referred to as coal combustion residue.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 material” </w:t>
      </w:r>
      <w:r>
        <w:rPr>
          <w:rFonts w:ascii="Times New Roman" w:hAnsi="Times New Roman"/>
          <w:b w:val="false"/>
          <w:i w:val="false"/>
          <w:color w:val="000000"/>
          <w:sz w:val="22"/>
        </w:rPr>
        <w:t>means soil placed as daily, intermediate, or final cover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“Fill material” </w:t>
      </w:r>
      <w:r>
        <w:rPr>
          <w:rFonts w:ascii="Times New Roman" w:hAnsi="Times New Roman"/>
          <w:b w:val="false"/>
          <w:i w:val="false"/>
          <w:color w:val="000000"/>
          <w:sz w:val="22"/>
        </w:rPr>
        <w:t>means material that is used to raise the elevation of, take up space in, or build up the level of the land. For the purposes of this chapter, fill material is not considered 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“Foundry sand” </w:t>
      </w:r>
      <w:r>
        <w:rPr>
          <w:rFonts w:ascii="Times New Roman" w:hAnsi="Times New Roman"/>
          <w:b w:val="false"/>
          <w:i w:val="false"/>
          <w:color w:val="000000"/>
          <w:sz w:val="22"/>
        </w:rPr>
        <w:t>means a solid by-product from the foundry industry that is derived from molding, core-making, and casting cleaning processes that primarily contain sand, olivine, or clay and that is suitable for disposal as solid waste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water table” </w:t>
      </w:r>
      <w:r>
        <w:rPr>
          <w:rFonts w:ascii="Times New Roman" w:hAnsi="Times New Roman"/>
          <w:b w:val="false"/>
          <w:i w:val="false"/>
          <w:color w:val="000000"/>
          <w:sz w:val="22"/>
        </w:rPr>
        <w:t>is the position of the water table which occurs in the spring in years of normal or above-normal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“Resource” </w:t>
      </w:r>
      <w:r>
        <w:rPr>
          <w:rFonts w:ascii="Times New Roman" w:hAnsi="Times New Roman"/>
          <w:b w:val="false"/>
          <w:i w:val="false"/>
          <w:color w:val="000000"/>
          <w:sz w:val="22"/>
        </w:rPr>
        <w:t>means a solid by-product that can provide greater benefit to the environment or human welfare in its beneficial use as a safe and effective substitute for a raw material, fuel or energy source, or natural resource, rather than being disposed of as a solid waste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by-product” </w:t>
      </w:r>
      <w:r>
        <w:rPr>
          <w:rFonts w:ascii="Times New Roman" w:hAnsi="Times New Roman"/>
          <w:b w:val="false"/>
          <w:i w:val="false"/>
          <w:color w:val="000000"/>
          <w:sz w:val="22"/>
        </w:rPr>
        <w:t>means a secondary material or residual, produced or created by an industrial, commercial or institutional process or activity, that has been source separated by the generating entity and that would otherwise be disposed of as solid waste. Solid by-products are composed of materials suitable for disposal as solid waste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“Subbase for hard-surface road construction” </w:t>
      </w:r>
      <w:r>
        <w:rPr>
          <w:rFonts w:ascii="Times New Roman" w:hAnsi="Times New Roman"/>
          <w:b w:val="false"/>
          <w:i w:val="false"/>
          <w:color w:val="000000"/>
          <w:sz w:val="22"/>
        </w:rPr>
        <w:t>means material that is used in subsurface applications for the construction of roads, including their shoulders, and parking lots that have hard surfaces such as concrete or asphalt. For the purposes of this chapter, subbase for hard-surface road construction is not considered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“Suitable for disposal as solid waste in a sanitary landfill” </w:t>
      </w:r>
      <w:r>
        <w:rPr>
          <w:rFonts w:ascii="Times New Roman" w:hAnsi="Times New Roman"/>
          <w:b w:val="false"/>
          <w:i w:val="false"/>
          <w:color w:val="000000"/>
          <w:sz w:val="22"/>
        </w:rPr>
        <w:t>means that the material is in compliance with all state and federal rules and regulations pertaining to what may be disposed of in an Iowa sanitary landfill. Such materials are at a minimum nonhazardous and nonradioactive, are solid or semisolid, and do not contain free liquids pursuant to the Paint Filter Liquids Test (Reference: 40 CFR 258.28).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“Vector” </w:t>
      </w:r>
      <w:r>
        <w:rPr>
          <w:rFonts w:ascii="Times New Roman" w:hAnsi="Times New Roman"/>
          <w:b w:val="false"/>
          <w:i w:val="false"/>
          <w:color w:val="000000"/>
          <w:sz w:val="22"/>
        </w:rPr>
        <w:t>means a carrier organism that is capable of transmitting a pathogen from one organism to another. Vectors include, but are not limited to, birds, rats and other rodents, and insects.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table” </w:t>
      </w:r>
      <w:r>
        <w:rPr>
          <w:rFonts w:ascii="Times New Roman" w:hAnsi="Times New Roman"/>
          <w:b w:val="false"/>
          <w:i w:val="false"/>
          <w:color w:val="000000"/>
          <w:sz w:val="22"/>
        </w:rPr>
        <w:t>means the water surface below the ground at which the unsaturated zone ends and the saturated zone begins.</w:t>
      </w:r>
    </w:p>
    <w:p>
      <w:pPr>
        <w:spacing w:before="0" w:after="0"/>
        <w:ind w:left="120"/>
        <w:jc w:val="both"/>
      </w:pPr>
      <w:r>
        <w:rPr>
          <w:rFonts w:ascii="Times New Roman" w:hAnsi="Times New Roman"/>
          <w:b/>
          <w:i w:val="false"/>
          <w:color w:val="000000"/>
          <w:sz w:val="22"/>
        </w:rPr>
        <w:t>567—108.4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Universally approved beneficial use determinations. </w:t>
      </w:r>
      <w:r>
        <w:rPr>
          <w:rFonts w:ascii="Times New Roman" w:hAnsi="Times New Roman"/>
          <w:b w:val="false"/>
          <w:i w:val="false"/>
          <w:color w:val="000000"/>
          <w:sz w:val="22"/>
        </w:rPr>
        <w:t xml:space="preserve">The following solid by-products may be utilized as resources in the specific manners listed provided that such utilization is in compliance with </w:t>
      </w:r>
      <w:hyperlink r:id="rId16">
        <w:r>
          <w:rPr>
            <w:rStyle w:val="Hyperlink"/>
            <w:rFonts w:ascii="Times New Roman" w:hAnsi="Times New Roman"/>
            <w:b w:val="false"/>
            <w:i w:val="false"/>
            <w:color w:val="000000"/>
            <w:sz w:val="22"/>
          </w:rPr>
          <w:t>567—108.6(455B,455D)</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567—108.7(455B,455D)</w:t>
        </w:r>
      </w:hyperlink>
      <w:r>
        <w:rPr>
          <w:rFonts w:ascii="Times New Roman" w:hAnsi="Times New Roman"/>
          <w:b w:val="false"/>
          <w:i w:val="false"/>
          <w:color w:val="000000"/>
          <w:sz w:val="22"/>
        </w:rPr>
        <w:t xml:space="preserve">. Unless a user is otherwise notified by the department pursuant to </w:t>
      </w:r>
      <w:hyperlink r:id="rId18">
        <w:r>
          <w:rPr>
            <w:rStyle w:val="Hyperlink"/>
            <w:rFonts w:ascii="Times New Roman" w:hAnsi="Times New Roman"/>
            <w:b w:val="false"/>
            <w:i w:val="false"/>
            <w:color w:val="000000"/>
            <w:sz w:val="22"/>
          </w:rPr>
          <w:t>567—108.11(455B,455D)</w:t>
        </w:r>
      </w:hyperlink>
      <w:r>
        <w:rPr>
          <w:rFonts w:ascii="Times New Roman" w:hAnsi="Times New Roman"/>
          <w:b w:val="false"/>
          <w:i w:val="false"/>
          <w:color w:val="000000"/>
          <w:sz w:val="22"/>
        </w:rPr>
        <w:t>, such utilization does not require further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w:t>
      </w:r>
      <w:r>
        <w:rPr>
          <w:rFonts w:ascii="Times New Roman" w:hAnsi="Times New Roman"/>
          <w:b w:val="false"/>
          <w:i w:val="false"/>
          <w:color w:val="000000"/>
          <w:sz w:val="22"/>
        </w:rPr>
        <w:t> </w:t>
      </w:r>
      <w:r>
        <w:rPr>
          <w:rFonts w:ascii="Times New Roman" w:hAnsi="Times New Roman"/>
          <w:b w:val="false"/>
          <w:i/>
          <w:color w:val="000000"/>
          <w:sz w:val="22"/>
        </w:rPr>
        <w:t xml:space="preserve">Alumina. </w:t>
      </w:r>
      <w:r>
        <w:rPr>
          <w:rFonts w:ascii="Times New Roman" w:hAnsi="Times New Roman"/>
          <w:b w:val="false"/>
          <w:i w:val="false"/>
          <w:color w:val="000000"/>
          <w:sz w:val="22"/>
        </w:rPr>
        <w:t>Alumina may be used as a raw material in the manufacture of cement or concrete products. Alumina includes refractory brick for the purpose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w:t>
      </w:r>
      <w:r>
        <w:rPr>
          <w:rFonts w:ascii="Times New Roman" w:hAnsi="Times New Roman"/>
          <w:b w:val="false"/>
          <w:i w:val="false"/>
          <w:color w:val="000000"/>
          <w:sz w:val="22"/>
        </w:rPr>
        <w:t> </w:t>
      </w:r>
      <w:r>
        <w:rPr>
          <w:rFonts w:ascii="Times New Roman" w:hAnsi="Times New Roman"/>
          <w:b w:val="false"/>
          <w:i/>
          <w:color w:val="000000"/>
          <w:sz w:val="22"/>
        </w:rPr>
        <w:t xml:space="preserve">Asphalt shingles. </w:t>
      </w:r>
      <w:r>
        <w:rPr>
          <w:rFonts w:ascii="Times New Roman" w:hAnsi="Times New Roman"/>
          <w:b w:val="false"/>
          <w:i w:val="false"/>
          <w:color w:val="000000"/>
          <w:sz w:val="22"/>
        </w:rPr>
        <w:t>Asphalt shingles that are certified, consistent with federal regulations (Reference: Appendix E, Subpart E, 40 CFR Part 763, Section 1, Polarized Light Microscopy), as not containing more than 1 percent asbestos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asphalt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Road surfacing granular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19">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w:t>
      </w:r>
      <w:r>
        <w:rPr>
          <w:rFonts w:ascii="Times New Roman" w:hAnsi="Times New Roman"/>
          <w:b w:val="false"/>
          <w:i w:val="false"/>
          <w:color w:val="000000"/>
          <w:sz w:val="22"/>
        </w:rPr>
        <w:t> </w:t>
      </w:r>
      <w:r>
        <w:rPr>
          <w:rFonts w:ascii="Times New Roman" w:hAnsi="Times New Roman"/>
          <w:b w:val="false"/>
          <w:i/>
          <w:color w:val="000000"/>
          <w:sz w:val="22"/>
        </w:rPr>
        <w:t xml:space="preserve">Cement kiln dust. </w:t>
      </w:r>
      <w:r>
        <w:rPr>
          <w:rFonts w:ascii="Times New Roman" w:hAnsi="Times New Roman"/>
          <w:b w:val="false"/>
          <w:i w:val="false"/>
          <w:color w:val="000000"/>
          <w:sz w:val="22"/>
        </w:rPr>
        <w:t>Cement kiln dust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absorbents.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cement or concrete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 amendment pursuant to </w:t>
      </w:r>
      <w:hyperlink r:id="rId20">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 xml:space="preserve"> and the rules of the Iowa department of agriculture and land stewardship or a compost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stabilizer for manure and waste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soil stabilizer for construction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21">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w:t>
      </w:r>
      <w:r>
        <w:rPr>
          <w:rFonts w:ascii="Times New Roman" w:hAnsi="Times New Roman"/>
          <w:b w:val="false"/>
          <w:i w:val="false"/>
          <w:color w:val="000000"/>
          <w:sz w:val="22"/>
        </w:rPr>
        <w:t> </w:t>
      </w:r>
      <w:r>
        <w:rPr>
          <w:rFonts w:ascii="Times New Roman" w:hAnsi="Times New Roman"/>
          <w:b w:val="false"/>
          <w:i/>
          <w:color w:val="000000"/>
          <w:sz w:val="22"/>
        </w:rPr>
        <w:t xml:space="preserve">Coal combustion by-products.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Coal combustion fly ash and flue gas desulfurization by-products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Raw material in manufactured gypsum, wallboard, plaster, or similar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Raw material in manufactured calcium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absorbents.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22">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23">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Coal combustion fly ash or bottom ash or boiler slag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cement or concrete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Raw material to be used in mineral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asphalt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Raw material in plastic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 stabilization for construction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24">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25">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Coal combustion bottom ash may also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Traction agent for surfaces used by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Sandblasting abrasive.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108.4(5)</w:t>
      </w:r>
      <w:r>
        <w:rPr>
          <w:rFonts w:ascii="Times New Roman" w:hAnsi="Times New Roman"/>
          <w:b w:val="false"/>
          <w:i w:val="false"/>
          <w:color w:val="000000"/>
          <w:sz w:val="22"/>
        </w:rPr>
        <w:t> </w:t>
      </w:r>
      <w:r>
        <w:rPr>
          <w:rFonts w:ascii="Times New Roman" w:hAnsi="Times New Roman"/>
          <w:b w:val="false"/>
          <w:i/>
          <w:color w:val="000000"/>
          <w:sz w:val="22"/>
        </w:rPr>
        <w:t xml:space="preserve">Compost. </w:t>
      </w:r>
      <w:r>
        <w:rPr>
          <w:rFonts w:ascii="Times New Roman" w:hAnsi="Times New Roman"/>
          <w:b w:val="false"/>
          <w:i w:val="false"/>
          <w:color w:val="000000"/>
          <w:sz w:val="22"/>
        </w:rPr>
        <w:t xml:space="preserve">Cured or finished compost, as defined in </w:t>
      </w:r>
      <w:hyperlink r:id="rId26">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is not solid waste and may be used for any purpose recognized by the U.S. Composting Council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108.4(6)</w:t>
      </w:r>
      <w:r>
        <w:rPr>
          <w:rFonts w:ascii="Times New Roman" w:hAnsi="Times New Roman"/>
          <w:b w:val="false"/>
          <w:i w:val="false"/>
          <w:color w:val="000000"/>
          <w:sz w:val="22"/>
        </w:rPr>
        <w:t> </w:t>
      </w:r>
      <w:r>
        <w:rPr>
          <w:rFonts w:ascii="Times New Roman" w:hAnsi="Times New Roman"/>
          <w:b w:val="false"/>
          <w:i/>
          <w:color w:val="000000"/>
          <w:sz w:val="22"/>
        </w:rPr>
        <w:t xml:space="preserve">Foundry sand. </w:t>
      </w:r>
      <w:r>
        <w:rPr>
          <w:rFonts w:ascii="Times New Roman" w:hAnsi="Times New Roman"/>
          <w:b w:val="false"/>
          <w:i w:val="false"/>
          <w:color w:val="000000"/>
          <w:sz w:val="22"/>
        </w:rPr>
        <w:t>Foundry sand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asphalt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cement or concrete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Leachate control drainage material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27">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flood control use for sandbags.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28">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108.4(7)</w:t>
      </w:r>
      <w:r>
        <w:rPr>
          <w:rFonts w:ascii="Times New Roman" w:hAnsi="Times New Roman"/>
          <w:b w:val="false"/>
          <w:i w:val="false"/>
          <w:color w:val="000000"/>
          <w:sz w:val="22"/>
        </w:rPr>
        <w:t> </w:t>
      </w:r>
      <w:r>
        <w:rPr>
          <w:rFonts w:ascii="Times New Roman" w:hAnsi="Times New Roman"/>
          <w:b w:val="false"/>
          <w:i/>
          <w:color w:val="000000"/>
          <w:sz w:val="22"/>
        </w:rPr>
        <w:t xml:space="preserve">Glass. </w:t>
      </w:r>
      <w:r>
        <w:rPr>
          <w:rFonts w:ascii="Times New Roman" w:hAnsi="Times New Roman"/>
          <w:b w:val="false"/>
          <w:i w:val="false"/>
          <w:color w:val="000000"/>
          <w:sz w:val="22"/>
        </w:rPr>
        <w:t>Uncontaminated, unleaded glass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asphalt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29">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Sandblasting or other abrasive.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Leachate control drainage material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Filter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30">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108.4(8)</w:t>
      </w:r>
      <w:r>
        <w:rPr>
          <w:rFonts w:ascii="Times New Roman" w:hAnsi="Times New Roman"/>
          <w:b w:val="false"/>
          <w:i w:val="false"/>
          <w:color w:val="000000"/>
          <w:sz w:val="22"/>
        </w:rPr>
        <w:t> </w:t>
      </w:r>
      <w:r>
        <w:rPr>
          <w:rFonts w:ascii="Times New Roman" w:hAnsi="Times New Roman"/>
          <w:b w:val="false"/>
          <w:i/>
          <w:color w:val="000000"/>
          <w:sz w:val="22"/>
        </w:rPr>
        <w:t xml:space="preserve">Gypsum and gypsum wallboard.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gypsum and gypsum wallboard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absorbents.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other gypsum products, wallboard, plaster, or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31">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Gypsum and gypsum wallboard that have not been treated to be water-resistant or flame-retardant may be used as a calcium additive for agricultural use or soil amendment pursuant to </w:t>
      </w:r>
      <w:hyperlink r:id="rId32">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 xml:space="preserve"> or a compost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108.4(9)</w:t>
      </w:r>
      <w:r>
        <w:rPr>
          <w:rFonts w:ascii="Times New Roman" w:hAnsi="Times New Roman"/>
          <w:b w:val="false"/>
          <w:i w:val="false"/>
          <w:color w:val="000000"/>
          <w:sz w:val="22"/>
        </w:rPr>
        <w:t> </w:t>
      </w:r>
      <w:r>
        <w:rPr>
          <w:rFonts w:ascii="Times New Roman" w:hAnsi="Times New Roman"/>
          <w:b w:val="false"/>
          <w:i/>
          <w:color w:val="000000"/>
          <w:sz w:val="22"/>
        </w:rPr>
        <w:t xml:space="preserve">Lime. </w:t>
      </w:r>
      <w:r>
        <w:rPr>
          <w:rFonts w:ascii="Times New Roman" w:hAnsi="Times New Roman"/>
          <w:b w:val="false"/>
          <w:i w:val="false"/>
          <w:color w:val="000000"/>
          <w:sz w:val="22"/>
        </w:rPr>
        <w:t>Lime produced as a by-product of public water supplies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 amendment pursuant to </w:t>
      </w:r>
      <w:hyperlink r:id="rId33">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 xml:space="preserve"> and the rules of the Iowa department of agriculture and land stewardship or a compost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calcium carbonate or similar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108.4(10)</w:t>
      </w:r>
      <w:r>
        <w:rPr>
          <w:rFonts w:ascii="Times New Roman" w:hAnsi="Times New Roman"/>
          <w:b w:val="false"/>
          <w:i w:val="false"/>
          <w:color w:val="000000"/>
          <w:sz w:val="22"/>
        </w:rPr>
        <w:t> </w:t>
      </w:r>
      <w:r>
        <w:rPr>
          <w:rFonts w:ascii="Times New Roman" w:hAnsi="Times New Roman"/>
          <w:b w:val="false"/>
          <w:i/>
          <w:color w:val="000000"/>
          <w:sz w:val="22"/>
        </w:rPr>
        <w:t xml:space="preserve">Lime kiln dust. </w:t>
      </w:r>
      <w:r>
        <w:rPr>
          <w:rFonts w:ascii="Times New Roman" w:hAnsi="Times New Roman"/>
          <w:b w:val="false"/>
          <w:i w:val="false"/>
          <w:color w:val="000000"/>
          <w:sz w:val="22"/>
        </w:rPr>
        <w:t>Lime kiln dust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absorbents.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cement or concrete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 amendment pursuant to </w:t>
      </w:r>
      <w:hyperlink r:id="rId34">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 xml:space="preserve"> and the rules of the Iowa department of agriculture and land stewardship or a compost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stabilizer for manure and waste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soil stabilizer for construction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35">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108.4(11)</w:t>
      </w:r>
      <w:r>
        <w:rPr>
          <w:rFonts w:ascii="Times New Roman" w:hAnsi="Times New Roman"/>
          <w:b w:val="false"/>
          <w:i w:val="false"/>
          <w:color w:val="000000"/>
          <w:sz w:val="22"/>
        </w:rPr>
        <w:t> </w:t>
      </w:r>
      <w:r>
        <w:rPr>
          <w:rFonts w:ascii="Times New Roman" w:hAnsi="Times New Roman"/>
          <w:b w:val="false"/>
          <w:i/>
          <w:color w:val="000000"/>
          <w:sz w:val="22"/>
        </w:rPr>
        <w:t xml:space="preserve">Paper mill sludge. </w:t>
      </w:r>
      <w:r>
        <w:rPr>
          <w:rFonts w:ascii="Times New Roman" w:hAnsi="Times New Roman"/>
          <w:b w:val="false"/>
          <w:i w:val="false"/>
          <w:color w:val="000000"/>
          <w:sz w:val="22"/>
        </w:rPr>
        <w:t>Uncontaminated, dewatered paper mill sludge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fuel or energy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Bulking agent or carbon source for composting.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Animal bedding.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absorbents.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36">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108.4(12)</w:t>
      </w:r>
      <w:r>
        <w:rPr>
          <w:rFonts w:ascii="Times New Roman" w:hAnsi="Times New Roman"/>
          <w:b w:val="false"/>
          <w:i w:val="false"/>
          <w:color w:val="000000"/>
          <w:sz w:val="22"/>
        </w:rPr>
        <w:t> </w:t>
      </w:r>
      <w:r>
        <w:rPr>
          <w:rFonts w:ascii="Times New Roman" w:hAnsi="Times New Roman"/>
          <w:b w:val="false"/>
          <w:i/>
          <w:color w:val="000000"/>
          <w:sz w:val="22"/>
        </w:rPr>
        <w:t xml:space="preserve">Rubble. </w:t>
      </w:r>
      <w:r>
        <w:rPr>
          <w:rFonts w:ascii="Times New Roman" w:hAnsi="Times New Roman"/>
          <w:b w:val="false"/>
          <w:i w:val="false"/>
          <w:color w:val="000000"/>
          <w:sz w:val="22"/>
        </w:rPr>
        <w:t>Uncontaminated rubble such as concrete, brick, asphalt pavement, soil and rock may be used for fill, landscaping, excavation or grading or as a substitute for conventional aggregate. Asphalt, however, shall not be used for any of the aforementioned uses if the use will cause the asphalt to be placed in a waterway or wetland or any waters of the state or within the high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108.4(13)</w:t>
      </w:r>
      <w:r>
        <w:rPr>
          <w:rFonts w:ascii="Times New Roman" w:hAnsi="Times New Roman"/>
          <w:b w:val="false"/>
          <w:i w:val="false"/>
          <w:color w:val="000000"/>
          <w:sz w:val="22"/>
        </w:rPr>
        <w:t> </w:t>
      </w:r>
      <w:r>
        <w:rPr>
          <w:rFonts w:ascii="Times New Roman" w:hAnsi="Times New Roman"/>
          <w:b w:val="false"/>
          <w:i/>
          <w:color w:val="000000"/>
          <w:sz w:val="22"/>
        </w:rPr>
        <w:t xml:space="preserve">Sandblasting abrasives. </w:t>
      </w:r>
      <w:r>
        <w:rPr>
          <w:rFonts w:ascii="Times New Roman" w:hAnsi="Times New Roman"/>
          <w:b w:val="false"/>
          <w:i w:val="false"/>
          <w:color w:val="000000"/>
          <w:sz w:val="22"/>
        </w:rPr>
        <w:t>Sandblasting abrasives that do not contain lead-based paint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cement or concrete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asphalt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abrasive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37">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38">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108.4(14)</w:t>
      </w:r>
      <w:r>
        <w:rPr>
          <w:rFonts w:ascii="Times New Roman" w:hAnsi="Times New Roman"/>
          <w:b w:val="false"/>
          <w:i w:val="false"/>
          <w:color w:val="000000"/>
          <w:sz w:val="22"/>
        </w:rPr>
        <w:t> </w:t>
      </w:r>
      <w:r>
        <w:rPr>
          <w:rFonts w:ascii="Times New Roman" w:hAnsi="Times New Roman"/>
          <w:b w:val="false"/>
          <w:i/>
          <w:color w:val="000000"/>
          <w:sz w:val="22"/>
        </w:rPr>
        <w:t xml:space="preserve">Soil, including petroleum-contaminated soil.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Uncontaminated soil may be used for fill, landscaping, excavation or grading, or other suitable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Petroleum-contaminated soils that have been decontaminated to the satisfaction of the department pursuant to </w:t>
      </w:r>
      <w:hyperlink r:id="rId39">
        <w:r>
          <w:rPr>
            <w:rStyle w:val="Hyperlink"/>
            <w:rFonts w:ascii="Times New Roman" w:hAnsi="Times New Roman"/>
            <w:b w:val="false"/>
            <w:i w:val="false"/>
            <w:color w:val="000000"/>
            <w:sz w:val="22"/>
          </w:rPr>
          <w:t>567—Chapter 120</w:t>
        </w:r>
      </w:hyperlink>
      <w:r>
        <w:rPr>
          <w:rFonts w:ascii="Times New Roman" w:hAnsi="Times New Roman"/>
          <w:b w:val="false"/>
          <w:i w:val="false"/>
          <w:color w:val="000000"/>
          <w:sz w:val="22"/>
        </w:rPr>
        <w:t xml:space="preserve">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at the original excavation site pursuant to </w:t>
      </w:r>
      <w:hyperlink r:id="rId40">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cover material at a sanitary landfill pursuant to </w:t>
      </w:r>
      <w:hyperlink r:id="rId41">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108.4(15)</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This chapter does not pertain to tires other than those used as alternative cover material pursuant to </w:t>
      </w:r>
      <w:hyperlink r:id="rId42">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 xml:space="preserve">. Refer to </w:t>
      </w:r>
      <w:hyperlink r:id="rId43">
        <w:r>
          <w:rPr>
            <w:rStyle w:val="Hyperlink"/>
            <w:rFonts w:ascii="Times New Roman" w:hAnsi="Times New Roman"/>
            <w:b w:val="false"/>
            <w:i w:val="false"/>
            <w:color w:val="000000"/>
            <w:sz w:val="22"/>
          </w:rPr>
          <w:t>567—Chapter 117</w:t>
        </w:r>
      </w:hyperlink>
      <w:r>
        <w:rPr>
          <w:rFonts w:ascii="Times New Roman" w:hAnsi="Times New Roman"/>
          <w:b w:val="false"/>
          <w:i w:val="false"/>
          <w:color w:val="000000"/>
          <w:sz w:val="22"/>
        </w:rPr>
        <w:t xml:space="preserve"> for rules regarding the beneficial use of tires.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108.4(16)</w:t>
      </w:r>
      <w:r>
        <w:rPr>
          <w:rFonts w:ascii="Times New Roman" w:hAnsi="Times New Roman"/>
          <w:b w:val="false"/>
          <w:i w:val="false"/>
          <w:color w:val="000000"/>
          <w:sz w:val="22"/>
        </w:rPr>
        <w:t> </w:t>
      </w:r>
      <w:r>
        <w:rPr>
          <w:rFonts w:ascii="Times New Roman" w:hAnsi="Times New Roman"/>
          <w:b w:val="false"/>
          <w:i/>
          <w:color w:val="000000"/>
          <w:sz w:val="22"/>
        </w:rPr>
        <w:t xml:space="preserve">Wastewater filter sand. </w:t>
      </w:r>
      <w:r>
        <w:rPr>
          <w:rFonts w:ascii="Times New Roman" w:hAnsi="Times New Roman"/>
          <w:b w:val="false"/>
          <w:i w:val="false"/>
          <w:color w:val="000000"/>
          <w:sz w:val="22"/>
        </w:rPr>
        <w:t>Wastewater filter sand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44">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108.4(17)</w:t>
      </w:r>
      <w:r>
        <w:rPr>
          <w:rFonts w:ascii="Times New Roman" w:hAnsi="Times New Roman"/>
          <w:b w:val="false"/>
          <w:i w:val="false"/>
          <w:color w:val="000000"/>
          <w:sz w:val="22"/>
        </w:rPr>
        <w:t> </w:t>
      </w:r>
      <w:r>
        <w:rPr>
          <w:rFonts w:ascii="Times New Roman" w:hAnsi="Times New Roman"/>
          <w:b w:val="false"/>
          <w:i/>
          <w:color w:val="000000"/>
          <w:sz w:val="22"/>
        </w:rPr>
        <w:t xml:space="preserve">Wood. </w:t>
      </w:r>
      <w:r>
        <w:rPr>
          <w:rFonts w:ascii="Times New Roman" w:hAnsi="Times New Roman"/>
          <w:b w:val="false"/>
          <w:i w:val="false"/>
          <w:color w:val="000000"/>
          <w:sz w:val="22"/>
        </w:rPr>
        <w:t>Uncontaminated, untreated or raw wood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fuel or energy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Bulking agent for composting.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Animal bedding.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paper products, particle board,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108.4(18)</w:t>
      </w:r>
      <w:r>
        <w:rPr>
          <w:rFonts w:ascii="Times New Roman" w:hAnsi="Times New Roman"/>
          <w:b w:val="false"/>
          <w:i w:val="false"/>
          <w:color w:val="000000"/>
          <w:sz w:val="22"/>
        </w:rPr>
        <w:t> </w:t>
      </w:r>
      <w:r>
        <w:rPr>
          <w:rFonts w:ascii="Times New Roman" w:hAnsi="Times New Roman"/>
          <w:b w:val="false"/>
          <w:i/>
          <w:color w:val="000000"/>
          <w:sz w:val="22"/>
        </w:rPr>
        <w:t xml:space="preserve">Wood ash. </w:t>
      </w:r>
      <w:r>
        <w:rPr>
          <w:rFonts w:ascii="Times New Roman" w:hAnsi="Times New Roman"/>
          <w:b w:val="false"/>
          <w:i w:val="false"/>
          <w:color w:val="000000"/>
          <w:sz w:val="22"/>
        </w:rPr>
        <w:t>Ash from the combustion of uncontaminated, untreated or raw wood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 amendment pursuant to </w:t>
      </w:r>
      <w:hyperlink r:id="rId45">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carbon source for composting.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Raw material in the manufacture of cement or concrete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Fill material pursuant to </w:t>
      </w:r>
      <w:hyperlink r:id="rId46">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567—108.5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Application requirements for beneficial use determinations other than alternative cover material. </w:t>
      </w:r>
      <w:r>
        <w:rPr>
          <w:rFonts w:ascii="Times New Roman" w:hAnsi="Times New Roman"/>
          <w:b w:val="false"/>
          <w:i w:val="false"/>
          <w:color w:val="000000"/>
          <w:sz w:val="22"/>
        </w:rPr>
        <w:t xml:space="preserve">Unless the beneficial use is approved pursuant to </w:t>
      </w:r>
      <w:hyperlink r:id="rId47">
        <w:r>
          <w:rPr>
            <w:rStyle w:val="Hyperlink"/>
            <w:rFonts w:ascii="Times New Roman" w:hAnsi="Times New Roman"/>
            <w:b w:val="false"/>
            <w:i w:val="false"/>
            <w:color w:val="000000"/>
            <w:sz w:val="22"/>
          </w:rPr>
          <w:t>567—108.4(455B,455D)</w:t>
        </w:r>
      </w:hyperlink>
      <w:r>
        <w:rPr>
          <w:rFonts w:ascii="Times New Roman" w:hAnsi="Times New Roman"/>
          <w:b w:val="false"/>
          <w:i w:val="false"/>
          <w:color w:val="000000"/>
          <w:sz w:val="22"/>
        </w:rPr>
        <w:t>, the applicant shall submit the following application information to the department. The department may request that additional information be submitted in order to make a beneficial use determination. The department may also require specific conditions on a beneficial use determination and issue a temporary beneficial use determination on a trial basis.</w:t>
      </w:r>
    </w:p>
    <w:p>
      <w:pPr>
        <w:spacing w:before="0" w:after="0"/>
        <w:ind w:left="120"/>
        <w:jc w:val="both"/>
      </w:pPr>
      <w:r>
        <w:rPr>
          <w:rFonts w:ascii="Times New Roman" w:hAnsi="Times New Roman"/>
          <w:b w:val="false"/>
          <w:i w:val="false"/>
          <w:color w:val="000000"/>
          <w:sz w:val="22"/>
        </w:rPr>
        <w:t>The generator of a solid by-product may apply to the department in writing for a beneficial use determination. 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of the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 for the beneficial 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engineer (P.E.) licensed by the state of Iowa and retained for the project, if any. The department may, at its sole discretion, require the applicant to retain a professional engineer for the project or specific parts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108.5(2)</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solid by-product under review and its proposed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108.5(3)</w:t>
      </w:r>
      <w:r>
        <w:rPr>
          <w:rFonts w:ascii="Times New Roman" w:hAnsi="Times New Roman"/>
          <w:b w:val="false"/>
          <w:i w:val="false"/>
          <w:color w:val="000000"/>
          <w:sz w:val="22"/>
        </w:rPr>
        <w:t> </w:t>
      </w:r>
      <w:r>
        <w:rPr>
          <w:rFonts w:ascii="Times New Roman" w:hAnsi="Times New Roman"/>
          <w:b w:val="false"/>
          <w:i w:val="false"/>
          <w:color w:val="000000"/>
          <w:sz w:val="22"/>
        </w:rPr>
        <w:t>The chemical and physical characteristics of the solid by-product under review and of each type of proposed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108.5(4)</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there is a known or reasonably probable market for the intended use of the solid by-product under review by providing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 to purchase or utilize the solid by-product for the use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solid by-product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solid by-product complies with industry standards and specifications for that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documentation that a market for the solid by-product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108.5(5)</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proposed use of the solid by-product will not adversely affect human health or the environment. The demonstration may include, but is not limited to, a toxicity characteristics leaching procedure (TCLP, EPA Method 1311) analysis and total metals testing of a representative sample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108.5(6)</w:t>
      </w:r>
      <w:r>
        <w:rPr>
          <w:rFonts w:ascii="Times New Roman" w:hAnsi="Times New Roman"/>
          <w:b w:val="false"/>
          <w:i w:val="false"/>
          <w:color w:val="000000"/>
          <w:sz w:val="22"/>
        </w:rPr>
        <w:t> </w:t>
      </w:r>
      <w:r>
        <w:rPr>
          <w:rFonts w:ascii="Times New Roman" w:hAnsi="Times New Roman"/>
          <w:b w:val="false"/>
          <w:i w:val="false"/>
          <w:color w:val="000000"/>
          <w:sz w:val="22"/>
        </w:rPr>
        <w:t xml:space="preserve">A solid by-product management plan pursuant to </w:t>
      </w:r>
      <w:hyperlink r:id="rId48">
        <w:r>
          <w:rPr>
            <w:rStyle w:val="Hyperlink"/>
            <w:rFonts w:ascii="Times New Roman" w:hAnsi="Times New Roman"/>
            <w:b w:val="false"/>
            <w:i w:val="false"/>
            <w:color w:val="000000"/>
            <w:sz w:val="22"/>
          </w:rPr>
          <w:t>108.6(2)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567—108.6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Requirements for beneficial uses other than alternative cover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108.6(1)</w:t>
      </w:r>
      <w:r>
        <w:rPr>
          <w:rFonts w:ascii="Times New Roman" w:hAnsi="Times New Roman"/>
          <w:b w:val="false"/>
          <w:i w:val="false"/>
          <w:color w:val="000000"/>
          <w:sz w:val="22"/>
        </w:rPr>
        <w:t> </w:t>
      </w:r>
      <w:r>
        <w:rPr>
          <w:rFonts w:ascii="Times New Roman" w:hAnsi="Times New Roman"/>
          <w:b w:val="false"/>
          <w:i/>
          <w:color w:val="000000"/>
          <w:sz w:val="22"/>
        </w:rPr>
        <w:t xml:space="preserve">Solid by-products beneficially used as fill material. </w:t>
      </w:r>
      <w:r>
        <w:rPr>
          <w:rFonts w:ascii="Times New Roman" w:hAnsi="Times New Roman"/>
          <w:b w:val="false"/>
          <w:i w:val="false"/>
          <w:color w:val="000000"/>
          <w:sz w:val="22"/>
        </w:rPr>
        <w:t xml:space="preserve">All beneficial uses, including those listed in </w:t>
      </w:r>
      <w:hyperlink r:id="rId49">
        <w:r>
          <w:rPr>
            <w:rStyle w:val="Hyperlink"/>
            <w:rFonts w:ascii="Times New Roman" w:hAnsi="Times New Roman"/>
            <w:b w:val="false"/>
            <w:i w:val="false"/>
            <w:color w:val="000000"/>
            <w:sz w:val="22"/>
          </w:rPr>
          <w:t>567—108.4(455B,455D)</w:t>
        </w:r>
      </w:hyperlink>
      <w:r>
        <w:rPr>
          <w:rFonts w:ascii="Times New Roman" w:hAnsi="Times New Roman"/>
          <w:b w:val="false"/>
          <w:i w:val="false"/>
          <w:color w:val="000000"/>
          <w:sz w:val="22"/>
        </w:rPr>
        <w:t xml:space="preserve"> other than rubble and soil, shall meet the following requirements, unless a variance is granted in writing by the department for a specific location, if the beneficial use entails the solid by-product’s being used as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Leachate characteristics of the solid by-product shall be measured by the synthetic precipitation leaching procedure (SPLP, EPA Method 1312) and shall be less than or equal to ten times the maximum contaminant levels (MCL) for drinking water. Foundry sand and coal combustion by-products may limit the SPLP analytes to total metals for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metals testing results, which shall include thallium, shall be consistent with the department’s statewide standards for soil pursuant to </w:t>
      </w:r>
      <w:hyperlink r:id="rId50">
        <w:r>
          <w:rPr>
            <w:rStyle w:val="Hyperlink"/>
            <w:rFonts w:ascii="Times New Roman" w:hAnsi="Times New Roman"/>
            <w:b w:val="false"/>
            <w:i w:val="false"/>
            <w:color w:val="000000"/>
            <w:sz w:val="22"/>
          </w:rPr>
          <w:t>567—Chapter 137</w:t>
        </w:r>
      </w:hyperlink>
      <w:r>
        <w:rPr>
          <w:rFonts w:ascii="Times New Roman" w:hAnsi="Times New Roman"/>
          <w:b w:val="false"/>
          <w:i w:val="false"/>
          <w:color w:val="000000"/>
          <w:sz w:val="22"/>
        </w:rPr>
        <w:t>. Arsenic levels shall be consistent with the statewide standards for soil or the naturally occurring (i.e., background) arsenic levels of the soil, whichever are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produce a fill that has a 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5 and less than or equal to 8 if the fill may be used as growing media either now or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5 and less than 12 if the fill is specifically intended not to be used as growing media either now or in the future. In this category of fill, materials with a pH equal to or greater than 10 but less than 12 shall be used only in areas where direct physical contact by humans for long periods of time is not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deep fills where only the surface may serve as growing media either now or in the future, then at a minimum the top three feet shall have a pH greater than or equal to 5 and less than or equal to 8. Fill material below the top three feet shall have a pH greater than or equal to 5 and less than or equal to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by-product shall not be placed in a waterway or wetland or any waters of the state or extend below or within five feet of the high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by-product shall not be placed within the 100-year flood plain unless in accordance with all local and department regulations including </w:t>
      </w:r>
      <w:hyperlink r:id="rId51">
        <w:r>
          <w:rPr>
            <w:rStyle w:val="Hyperlink"/>
            <w:rFonts w:ascii="Times New Roman" w:hAnsi="Times New Roman"/>
            <w:b w:val="false"/>
            <w:i w:val="false"/>
            <w:color w:val="000000"/>
            <w:sz w:val="22"/>
          </w:rPr>
          <w:t>rule 567—71.5(455B)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by-product shall not be placed closer than 200 feet to a sinkhole or to a well that is being used or could be used for human or livestock water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by-product shall not be putrescible.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108.6(2)</w:t>
      </w:r>
      <w:r>
        <w:rPr>
          <w:rFonts w:ascii="Times New Roman" w:hAnsi="Times New Roman"/>
          <w:b w:val="false"/>
          <w:i w:val="false"/>
          <w:color w:val="000000"/>
          <w:sz w:val="22"/>
        </w:rPr>
        <w:t> </w:t>
      </w:r>
      <w:r>
        <w:rPr>
          <w:rFonts w:ascii="Times New Roman" w:hAnsi="Times New Roman"/>
          <w:b w:val="false"/>
          <w:i/>
          <w:color w:val="000000"/>
          <w:sz w:val="22"/>
        </w:rPr>
        <w:t xml:space="preserve">Solid by-product management plans. </w:t>
      </w:r>
      <w:r>
        <w:rPr>
          <w:rFonts w:ascii="Times New Roman" w:hAnsi="Times New Roman"/>
          <w:b w:val="false"/>
          <w:i w:val="false"/>
          <w:color w:val="000000"/>
          <w:sz w:val="22"/>
        </w:rPr>
        <w:t xml:space="preserve">All recipients of beneficial use determinations granted pursuant to </w:t>
      </w:r>
      <w:hyperlink r:id="rId52">
        <w:r>
          <w:rPr>
            <w:rStyle w:val="Hyperlink"/>
            <w:rFonts w:ascii="Times New Roman" w:hAnsi="Times New Roman"/>
            <w:b w:val="false"/>
            <w:i w:val="false"/>
            <w:color w:val="000000"/>
            <w:sz w:val="22"/>
          </w:rPr>
          <w:t>567—108.5(455B,455D)</w:t>
        </w:r>
      </w:hyperlink>
      <w:r>
        <w:rPr>
          <w:rFonts w:ascii="Times New Roman" w:hAnsi="Times New Roman"/>
          <w:b w:val="false"/>
          <w:i w:val="false"/>
          <w:color w:val="000000"/>
          <w:sz w:val="22"/>
        </w:rPr>
        <w:t xml:space="preserve"> and coal combustion by-product and foundry sand beneficial uses listed in </w:t>
      </w:r>
      <w:hyperlink r:id="rId53">
        <w:r>
          <w:rPr>
            <w:rStyle w:val="Hyperlink"/>
            <w:rFonts w:ascii="Times New Roman" w:hAnsi="Times New Roman"/>
            <w:b w:val="false"/>
            <w:i w:val="false"/>
            <w:color w:val="000000"/>
            <w:sz w:val="22"/>
          </w:rPr>
          <w:t>567—108.4(455B,455D)</w:t>
        </w:r>
      </w:hyperlink>
      <w:r>
        <w:rPr>
          <w:rFonts w:ascii="Times New Roman" w:hAnsi="Times New Roman"/>
          <w:b w:val="false"/>
          <w:i w:val="false"/>
          <w:color w:val="000000"/>
          <w:sz w:val="22"/>
        </w:rPr>
        <w:t xml:space="preserve"> shall develop and maintain a solid by-product management plan that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Lists the source(s)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Lists procedures for periodic testing of the solid by-product to ensure that the chemical and physical composition has not changed significantly.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 description of storage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Storage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Maximum anticipated inventory, including dimensions of any stockpiles.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Run-on and run-off controls, which may include a storm water National Pollutant Discharge Elimination System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practices to minimize uncontrolled dispersion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Maximum storage time, not to exceed six months unless authorized in writing by the department.</w:t>
      </w:r>
    </w:p>
    <w:p>
      <w:pPr>
        <w:spacing w:before="0" w:after="0"/>
        <w:ind w:left="120"/>
        <w:jc w:val="both"/>
      </w:pPr>
      <w:r>
        <w:rPr>
          <w:rFonts w:ascii="Times New Roman" w:hAnsi="Times New Roman"/>
          <w:b/>
          <w:i w:val="false"/>
          <w:color w:val="000000"/>
          <w:sz w:val="22"/>
        </w:rPr>
        <w:t>567—108.7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Record-keeping and reporting requirements for beneficial use projects other than alternative cover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w:t>
      </w:r>
      <w:r>
        <w:rPr>
          <w:rFonts w:ascii="Times New Roman" w:hAnsi="Times New Roman"/>
          <w:b w:val="false"/>
          <w:i w:val="false"/>
          <w:color w:val="000000"/>
          <w:sz w:val="22"/>
        </w:rPr>
        <w:t> </w:t>
      </w:r>
      <w:r>
        <w:rPr>
          <w:rFonts w:ascii="Times New Roman" w:hAnsi="Times New Roman"/>
          <w:b w:val="false"/>
          <w:i w:val="false"/>
          <w:color w:val="000000"/>
          <w:sz w:val="22"/>
        </w:rPr>
        <w:t>Any entity that engages in the beneficial use of a solid by-product, other than for alternative cover material, and that satisfies at least one of the following criteria shall comply with record-keeping and reporting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entity has been granted a beneficial use determination pursuant to </w:t>
      </w:r>
      <w:hyperlink r:id="rId54">
        <w:r>
          <w:rPr>
            <w:rStyle w:val="Hyperlink"/>
            <w:rFonts w:ascii="Times New Roman" w:hAnsi="Times New Roman"/>
            <w:b w:val="false"/>
            <w:i w:val="false"/>
            <w:color w:val="000000"/>
            <w:sz w:val="22"/>
          </w:rPr>
          <w:t>567—108.5(455B,455D)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solid by-product is not rubble or soil and is being beneficially used as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solid by-product is a coal combustion by-product or foundry sand.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108.7(2)</w:t>
      </w:r>
      <w:r>
        <w:rPr>
          <w:rFonts w:ascii="Times New Roman" w:hAnsi="Times New Roman"/>
          <w:b w:val="false"/>
          <w:i w:val="false"/>
          <w:color w:val="000000"/>
          <w:sz w:val="22"/>
        </w:rPr>
        <w:t> </w:t>
      </w:r>
      <w:r>
        <w:rPr>
          <w:rFonts w:ascii="Times New Roman" w:hAnsi="Times New Roman"/>
          <w:b w:val="false"/>
          <w:i w:val="false"/>
          <w:color w:val="000000"/>
          <w:sz w:val="22"/>
        </w:rPr>
        <w:t>Record keeping. Generators shall maintain all records related to the solid by-product management plan for a minimum duration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108.7(3)</w:t>
      </w:r>
      <w:r>
        <w:rPr>
          <w:rFonts w:ascii="Times New Roman" w:hAnsi="Times New Roman"/>
          <w:b w:val="false"/>
          <w:i w:val="false"/>
          <w:color w:val="000000"/>
          <w:sz w:val="22"/>
        </w:rPr>
        <w:t> </w:t>
      </w:r>
      <w:r>
        <w:rPr>
          <w:rFonts w:ascii="Times New Roman" w:hAnsi="Times New Roman"/>
          <w:b w:val="false"/>
          <w:i w:val="false"/>
          <w:color w:val="000000"/>
          <w:sz w:val="22"/>
        </w:rPr>
        <w:t>Reporting. Reports shall be filed with the department’s central office and the field office with jurisdiction over the generator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department, generators shall submit to the department a copy of the solid by-product management plan whenever that plan is revised or within 60 days of the end of the calendar year,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Generators whose solid by-products are being beneficially used as fill material shall submit to the department within 60 days of the end of the calendar year the following information for each beneficial use project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tons of solid by-product utilized for the project.</w:t>
      </w:r>
    </w:p>
    <w:p>
      <w:pPr>
        <w:spacing w:before="0" w:after="0"/>
        <w:ind w:left="120"/>
        <w:jc w:val="both"/>
      </w:pPr>
      <w:r>
        <w:rPr>
          <w:rFonts w:ascii="Times New Roman" w:hAnsi="Times New Roman"/>
          <w:b/>
          <w:i w:val="false"/>
          <w:color w:val="000000"/>
          <w:sz w:val="22"/>
        </w:rPr>
        <w:t>567—108.8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Universally approved beneficial use determinations for alternative cover material. </w:t>
      </w:r>
      <w:r>
        <w:rPr>
          <w:rFonts w:ascii="Times New Roman" w:hAnsi="Times New Roman"/>
          <w:b w:val="false"/>
          <w:i w:val="false"/>
          <w:color w:val="000000"/>
          <w:sz w:val="22"/>
        </w:rPr>
        <w:t xml:space="preserve">Unless the landfill is otherwise notified pursuant to </w:t>
      </w:r>
      <w:hyperlink r:id="rId55">
        <w:r>
          <w:rPr>
            <w:rStyle w:val="Hyperlink"/>
            <w:rFonts w:ascii="Times New Roman" w:hAnsi="Times New Roman"/>
            <w:b w:val="false"/>
            <w:i w:val="false"/>
            <w:color w:val="000000"/>
            <w:sz w:val="22"/>
          </w:rPr>
          <w:t>567—108.11(455B,455D)</w:t>
        </w:r>
      </w:hyperlink>
      <w:r>
        <w:rPr>
          <w:rFonts w:ascii="Times New Roman" w:hAnsi="Times New Roman"/>
          <w:b w:val="false"/>
          <w:i w:val="false"/>
          <w:color w:val="000000"/>
          <w:sz w:val="22"/>
        </w:rPr>
        <w:t>, the following alternative cover materials may be beneficially used as daily cover material at sanitary landfills in the manner and volume specified by sanitary landfill rules. However, sanitary landfills shall amend their sanitary landfill permits by notifying the department, and the department field office with jurisdiction over the facility, of their intent to utilize solid by-products pursuant to this rule at least 30 days prior to actual utilization of the by-products as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108.8(1)</w:t>
      </w:r>
      <w:r>
        <w:rPr>
          <w:rFonts w:ascii="Times New Roman" w:hAnsi="Times New Roman"/>
          <w:b w:val="false"/>
          <w:i w:val="false"/>
          <w:color w:val="000000"/>
          <w:sz w:val="22"/>
        </w:rPr>
        <w:t> </w:t>
      </w:r>
      <w:r>
        <w:rPr>
          <w:rFonts w:ascii="Times New Roman" w:hAnsi="Times New Roman"/>
          <w:b w:val="false"/>
          <w:i/>
          <w:color w:val="000000"/>
          <w:sz w:val="22"/>
        </w:rPr>
        <w:t xml:space="preserve">Asphalt shingles. </w:t>
      </w:r>
      <w:r>
        <w:rPr>
          <w:rFonts w:ascii="Times New Roman" w:hAnsi="Times New Roman"/>
          <w:b w:val="false"/>
          <w:i w:val="false"/>
          <w:color w:val="000000"/>
          <w:sz w:val="22"/>
        </w:rPr>
        <w:t>Asphalt shingles that are certified, consistent with federal regulations (Reference: Appendix E, Subpart E, 40 CFR Part 763, Section 1, Polarized Light Microscopy), as not containing more than 1 percent asbestos and are ground to an average size of 3 inches or less in any dimension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108.8(2)</w:t>
      </w:r>
      <w:r>
        <w:rPr>
          <w:rFonts w:ascii="Times New Roman" w:hAnsi="Times New Roman"/>
          <w:b w:val="false"/>
          <w:i w:val="false"/>
          <w:color w:val="000000"/>
          <w:sz w:val="22"/>
        </w:rPr>
        <w:t> </w:t>
      </w:r>
      <w:r>
        <w:rPr>
          <w:rFonts w:ascii="Times New Roman" w:hAnsi="Times New Roman"/>
          <w:b w:val="false"/>
          <w:i/>
          <w:color w:val="000000"/>
          <w:sz w:val="22"/>
        </w:rPr>
        <w:t xml:space="preserve">Coal combustion by-products. </w:t>
      </w:r>
      <w:r>
        <w:rPr>
          <w:rFonts w:ascii="Times New Roman" w:hAnsi="Times New Roman"/>
          <w:b w:val="false"/>
          <w:i w:val="false"/>
          <w:color w:val="000000"/>
          <w:sz w:val="22"/>
        </w:rPr>
        <w:t>Coal combustion by-products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108.8(3)</w:t>
      </w:r>
      <w:r>
        <w:rPr>
          <w:rFonts w:ascii="Times New Roman" w:hAnsi="Times New Roman"/>
          <w:b w:val="false"/>
          <w:i w:val="false"/>
          <w:color w:val="000000"/>
          <w:sz w:val="22"/>
        </w:rPr>
        <w:t> </w:t>
      </w:r>
      <w:r>
        <w:rPr>
          <w:rFonts w:ascii="Times New Roman" w:hAnsi="Times New Roman"/>
          <w:b w:val="false"/>
          <w:i/>
          <w:color w:val="000000"/>
          <w:sz w:val="22"/>
        </w:rPr>
        <w:t xml:space="preserve">Compost. </w:t>
      </w:r>
      <w:r>
        <w:rPr>
          <w:rFonts w:ascii="Times New Roman" w:hAnsi="Times New Roman"/>
          <w:b w:val="false"/>
          <w:i w:val="false"/>
          <w:color w:val="000000"/>
          <w:sz w:val="22"/>
        </w:rPr>
        <w:t>One hundred percent cured or finished compost, and compost rejects,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108.8(4)</w:t>
      </w:r>
      <w:r>
        <w:rPr>
          <w:rFonts w:ascii="Times New Roman" w:hAnsi="Times New Roman"/>
          <w:b w:val="false"/>
          <w:i w:val="false"/>
          <w:color w:val="000000"/>
          <w:sz w:val="22"/>
        </w:rPr>
        <w:t> </w:t>
      </w:r>
      <w:r>
        <w:rPr>
          <w:rFonts w:ascii="Times New Roman" w:hAnsi="Times New Roman"/>
          <w:b w:val="false"/>
          <w:i/>
          <w:color w:val="000000"/>
          <w:sz w:val="22"/>
        </w:rPr>
        <w:t xml:space="preserve">Diatomaceous earth. </w:t>
      </w:r>
      <w:r>
        <w:rPr>
          <w:rFonts w:ascii="Times New Roman" w:hAnsi="Times New Roman"/>
          <w:b w:val="false"/>
          <w:i w:val="false"/>
          <w:color w:val="000000"/>
          <w:sz w:val="22"/>
        </w:rPr>
        <w:t>Diatomaceous earth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108.8(5)</w:t>
      </w:r>
      <w:r>
        <w:rPr>
          <w:rFonts w:ascii="Times New Roman" w:hAnsi="Times New Roman"/>
          <w:b w:val="false"/>
          <w:i w:val="false"/>
          <w:color w:val="000000"/>
          <w:sz w:val="22"/>
        </w:rPr>
        <w:t> </w:t>
      </w:r>
      <w:r>
        <w:rPr>
          <w:rFonts w:ascii="Times New Roman" w:hAnsi="Times New Roman"/>
          <w:b w:val="false"/>
          <w:i/>
          <w:color w:val="000000"/>
          <w:sz w:val="22"/>
        </w:rPr>
        <w:t xml:space="preserve">Foundry sand. </w:t>
      </w:r>
      <w:r>
        <w:rPr>
          <w:rFonts w:ascii="Times New Roman" w:hAnsi="Times New Roman"/>
          <w:b w:val="false"/>
          <w:i w:val="false"/>
          <w:color w:val="000000"/>
          <w:sz w:val="22"/>
        </w:rPr>
        <w:t>Foundry sand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108.8(6)</w:t>
      </w:r>
      <w:r>
        <w:rPr>
          <w:rFonts w:ascii="Times New Roman" w:hAnsi="Times New Roman"/>
          <w:b w:val="false"/>
          <w:i w:val="false"/>
          <w:color w:val="000000"/>
          <w:sz w:val="22"/>
        </w:rPr>
        <w:t> </w:t>
      </w:r>
      <w:r>
        <w:rPr>
          <w:rFonts w:ascii="Times New Roman" w:hAnsi="Times New Roman"/>
          <w:b w:val="false"/>
          <w:i/>
          <w:color w:val="000000"/>
          <w:sz w:val="22"/>
        </w:rPr>
        <w:t xml:space="preserve">Glass. </w:t>
      </w:r>
      <w:r>
        <w:rPr>
          <w:rFonts w:ascii="Times New Roman" w:hAnsi="Times New Roman"/>
          <w:b w:val="false"/>
          <w:i w:val="false"/>
          <w:color w:val="000000"/>
          <w:sz w:val="22"/>
        </w:rPr>
        <w:t>Glass that has been ground to an average size of ½ inch or less in any dimension may be mixed with soil in a 10 percent glass and 90 percent soil by volume mixture.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108.8(7)</w:t>
      </w:r>
      <w:r>
        <w:rPr>
          <w:rFonts w:ascii="Times New Roman" w:hAnsi="Times New Roman"/>
          <w:b w:val="false"/>
          <w:i w:val="false"/>
          <w:color w:val="000000"/>
          <w:sz w:val="22"/>
        </w:rPr>
        <w:t> </w:t>
      </w:r>
      <w:r>
        <w:rPr>
          <w:rFonts w:ascii="Times New Roman" w:hAnsi="Times New Roman"/>
          <w:b w:val="false"/>
          <w:i/>
          <w:color w:val="000000"/>
          <w:sz w:val="22"/>
        </w:rPr>
        <w:t xml:space="preserve">Gypsum and gypsum wallboard. </w:t>
      </w:r>
      <w:r>
        <w:rPr>
          <w:rFonts w:ascii="Times New Roman" w:hAnsi="Times New Roman"/>
          <w:b w:val="false"/>
          <w:i w:val="false"/>
          <w:color w:val="000000"/>
          <w:sz w:val="22"/>
        </w:rPr>
        <w:t>Gypsum and gypsum wallboard that have been ground to an average size of 3 inches or less in any dimension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108.8(8)</w:t>
      </w:r>
      <w:r>
        <w:rPr>
          <w:rFonts w:ascii="Times New Roman" w:hAnsi="Times New Roman"/>
          <w:b w:val="false"/>
          <w:i w:val="false"/>
          <w:color w:val="000000"/>
          <w:sz w:val="22"/>
        </w:rPr>
        <w:t> </w:t>
      </w:r>
      <w:r>
        <w:rPr>
          <w:rFonts w:ascii="Times New Roman" w:hAnsi="Times New Roman"/>
          <w:b w:val="false"/>
          <w:i/>
          <w:color w:val="000000"/>
          <w:sz w:val="22"/>
        </w:rPr>
        <w:t xml:space="preserve">Paper mill sludge. </w:t>
      </w:r>
      <w:r>
        <w:rPr>
          <w:rFonts w:ascii="Times New Roman" w:hAnsi="Times New Roman"/>
          <w:b w:val="false"/>
          <w:i w:val="false"/>
          <w:color w:val="000000"/>
          <w:sz w:val="22"/>
        </w:rPr>
        <w:t>Uncontaminated, dewatered paper mill sludge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108.8(9)</w:t>
      </w:r>
      <w:r>
        <w:rPr>
          <w:rFonts w:ascii="Times New Roman" w:hAnsi="Times New Roman"/>
          <w:b w:val="false"/>
          <w:i w:val="false"/>
          <w:color w:val="000000"/>
          <w:sz w:val="22"/>
        </w:rPr>
        <w:t> </w:t>
      </w:r>
      <w:r>
        <w:rPr>
          <w:rFonts w:ascii="Times New Roman" w:hAnsi="Times New Roman"/>
          <w:b w:val="false"/>
          <w:i/>
          <w:color w:val="000000"/>
          <w:sz w:val="22"/>
        </w:rPr>
        <w:t xml:space="preserve">Sandblasting abrasive. </w:t>
      </w:r>
      <w:r>
        <w:rPr>
          <w:rFonts w:ascii="Times New Roman" w:hAnsi="Times New Roman"/>
          <w:b w:val="false"/>
          <w:i w:val="false"/>
          <w:color w:val="000000"/>
          <w:sz w:val="22"/>
        </w:rPr>
        <w:t>Sandblasting abrasive and residuals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108.8(10)</w:t>
      </w:r>
      <w:r>
        <w:rPr>
          <w:rFonts w:ascii="Times New Roman" w:hAnsi="Times New Roman"/>
          <w:b w:val="false"/>
          <w:i w:val="false"/>
          <w:color w:val="000000"/>
          <w:sz w:val="22"/>
        </w:rPr>
        <w:t> </w:t>
      </w:r>
      <w:r>
        <w:rPr>
          <w:rFonts w:ascii="Times New Roman" w:hAnsi="Times New Roman"/>
          <w:b w:val="false"/>
          <w:i/>
          <w:color w:val="000000"/>
          <w:sz w:val="22"/>
        </w:rPr>
        <w:t xml:space="preserve">Soil, including petroleum-contaminated soil. </w:t>
      </w:r>
      <w:r>
        <w:rPr>
          <w:rFonts w:ascii="Times New Roman" w:hAnsi="Times New Roman"/>
          <w:b w:val="false"/>
          <w:i w:val="false"/>
          <w:color w:val="000000"/>
          <w:sz w:val="22"/>
        </w:rPr>
        <w:t xml:space="preserve">Petroleum-contaminated soils that have been decontaminated to the satisfaction of the department pursuant to </w:t>
      </w:r>
      <w:hyperlink r:id="rId56">
        <w:r>
          <w:rPr>
            <w:rStyle w:val="Hyperlink"/>
            <w:rFonts w:ascii="Times New Roman" w:hAnsi="Times New Roman"/>
            <w:b w:val="false"/>
            <w:i w:val="false"/>
            <w:color w:val="000000"/>
            <w:sz w:val="22"/>
          </w:rPr>
          <w:t>567—Chapter 120</w:t>
        </w:r>
      </w:hyperlink>
      <w:r>
        <w:rPr>
          <w:rFonts w:ascii="Times New Roman" w:hAnsi="Times New Roman"/>
          <w:b w:val="false"/>
          <w:i w:val="false"/>
          <w:color w:val="000000"/>
          <w:sz w:val="22"/>
        </w:rPr>
        <w:t xml:space="preserve">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108.8(11)</w:t>
      </w:r>
      <w:r>
        <w:rPr>
          <w:rFonts w:ascii="Times New Roman" w:hAnsi="Times New Roman"/>
          <w:b w:val="false"/>
          <w:i w:val="false"/>
          <w:color w:val="000000"/>
          <w:sz w:val="22"/>
        </w:rPr>
        <w:t> </w:t>
      </w:r>
      <w:r>
        <w:rPr>
          <w:rFonts w:ascii="Times New Roman" w:hAnsi="Times New Roman"/>
          <w:b w:val="false"/>
          <w:i/>
          <w:color w:val="000000"/>
          <w:sz w:val="22"/>
        </w:rPr>
        <w:t xml:space="preserve">Tire chips. </w:t>
      </w:r>
      <w:r>
        <w:rPr>
          <w:rFonts w:ascii="Times New Roman" w:hAnsi="Times New Roman"/>
          <w:b w:val="false"/>
          <w:i w:val="false"/>
          <w:color w:val="000000"/>
          <w:sz w:val="22"/>
        </w:rPr>
        <w:t>Tire chips that are an average size of 3 inches or less in any dimension may be mixed with soil in a 50/50 volume.</w:t>
      </w:r>
    </w:p>
    <w:p>
      <w:pPr>
        <w:spacing w:before="0" w:after="0"/>
        <w:ind w:left="120"/>
        <w:jc w:val="both"/>
      </w:pPr>
      <w:r>
        <w:rPr>
          <w:rFonts w:ascii="Times New Roman" w:hAnsi="Times New Roman"/>
          <w:b/>
          <w:i w:val="false"/>
          <w:color w:val="000000"/>
          <w:sz w:val="22"/>
        </w:rPr>
        <w:t>567—108.9</w:t>
      </w:r>
      <w:r>
        <w:rPr>
          <w:rFonts w:ascii="Times New Roman" w:hAnsi="Times New Roman"/>
          <w:b/>
          <w:i w:val="false"/>
          <w:color w:val="000000"/>
          <w:sz w:val="22"/>
        </w:rPr>
        <w:t xml:space="preserve">(455B,455D) </w:t>
      </w:r>
      <w:r>
        <w:rPr>
          <w:rFonts w:ascii="Times New Roman" w:hAnsi="Times New Roman"/>
          <w:b/>
          <w:i w:val="false"/>
          <w:color w:val="000000"/>
          <w:sz w:val="22"/>
        </w:rPr>
        <w:t xml:space="preserve">Beneficial use determination application requirements for alternative cover material. </w:t>
      </w:r>
      <w:r>
        <w:rPr>
          <w:rFonts w:ascii="Times New Roman" w:hAnsi="Times New Roman"/>
          <w:b w:val="false"/>
          <w:i w:val="false"/>
          <w:color w:val="000000"/>
          <w:sz w:val="22"/>
        </w:rPr>
        <w:t xml:space="preserve">Unless the alternative cover material beneficial use is approved pursuant to </w:t>
      </w:r>
      <w:hyperlink r:id="rId57">
        <w:r>
          <w:rPr>
            <w:rStyle w:val="Hyperlink"/>
            <w:rFonts w:ascii="Times New Roman" w:hAnsi="Times New Roman"/>
            <w:b w:val="false"/>
            <w:i w:val="false"/>
            <w:color w:val="000000"/>
            <w:sz w:val="22"/>
          </w:rPr>
          <w:t>567—108.8(455B,455D)</w:t>
        </w:r>
      </w:hyperlink>
      <w:r>
        <w:rPr>
          <w:rFonts w:ascii="Times New Roman" w:hAnsi="Times New Roman"/>
          <w:b w:val="false"/>
          <w:i w:val="false"/>
          <w:color w:val="000000"/>
          <w:sz w:val="22"/>
        </w:rPr>
        <w:t>, the applicant shall submit the following application information to the department to amend the sanitary landfill permit. The department may request that additional information be submitted in order to make a beneficial use determination. The department may also require specific beneficial use determination conditions and issue a temporary beneficial use determination on a trial basis.</w:t>
      </w:r>
    </w:p>
    <w:p>
      <w:pPr>
        <w:spacing w:before="0" w:after="0"/>
        <w:ind w:left="120"/>
        <w:jc w:val="both"/>
      </w:pPr>
      <w:r>
        <w:rPr>
          <w:rFonts w:ascii="Times New Roman" w:hAnsi="Times New Roman"/>
          <w:b w:val="false"/>
          <w:i w:val="false"/>
          <w:color w:val="000000"/>
          <w:sz w:val="22"/>
        </w:rPr>
        <w:t>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of the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 for the beneficial 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engineer (P.E.) licensed by the state of Iowa and retained for the project, if any. The department may, at its sole discretion, require the applicant to retain a professional engineer for the project or specific parts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alternative cover material and whether it is to be used as daily, intermediate, or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108.9(3)</w:t>
      </w:r>
      <w:r>
        <w:rPr>
          <w:rFonts w:ascii="Times New Roman" w:hAnsi="Times New Roman"/>
          <w:b w:val="false"/>
          <w:i w:val="false"/>
          <w:color w:val="000000"/>
          <w:sz w:val="22"/>
        </w:rPr>
        <w:t> </w:t>
      </w:r>
      <w:r>
        <w:rPr>
          <w:rFonts w:ascii="Times New Roman" w:hAnsi="Times New Roman"/>
          <w:b w:val="false"/>
          <w:i w:val="false"/>
          <w:color w:val="000000"/>
          <w:sz w:val="22"/>
        </w:rPr>
        <w:t>The chemical and physical characteristics of the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108.9(4)</w:t>
      </w:r>
      <w:r>
        <w:rPr>
          <w:rFonts w:ascii="Times New Roman" w:hAnsi="Times New Roman"/>
          <w:b w:val="false"/>
          <w:i w:val="false"/>
          <w:color w:val="000000"/>
          <w:sz w:val="22"/>
        </w:rPr>
        <w:t> </w:t>
      </w:r>
      <w:r>
        <w:rPr>
          <w:rFonts w:ascii="Times New Roman" w:hAnsi="Times New Roman"/>
          <w:b w:val="false"/>
          <w:i w:val="false"/>
          <w:color w:val="000000"/>
          <w:sz w:val="22"/>
        </w:rPr>
        <w:t>The proposed volume ratio of the alternative cover material(s) to soil or other alternative cover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108.9(5)</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there is a known or reasonably probable suitability of the alternative cover material as cover material by providing previous case studies of the alternative cover material being utilized as cover material’s or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the ability of the alternative cover material to reduce or maintain current odor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on the ability of the alternative cover material to reduce or deter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the ability of the alternative cover material to reduce or maintain the current risk of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on the ability of the alternative cover material to control litter and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on the ability of the alternative cover material to impede the infiltration of liquids and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on the ability of the alternative cover material to control landfill gas migration.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Information on the ability of the alternative cover material to provide a safe and effective working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on the ability of the alternative cover material to provide effective growing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documentation that the alternative cover material is suitable for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108.9(6)</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proposed use of the alternative cover material will not adversely affect human health or the environment. The demonstration may include, but is not limited to, a toxicity characteristics leaching procedure (TCLP, EPA Method 1311) analysis of a representative sample of the alternative cover material.</w:t>
      </w:r>
    </w:p>
    <w:p>
      <w:pPr>
        <w:spacing w:before="210" w:after="0"/>
        <w:ind w:left="120"/>
        <w:jc w:val="both"/>
      </w:pPr>
      <w:r>
        <w:rPr>
          <w:rFonts w:ascii="Times New Roman" w:hAnsi="Times New Roman"/>
          <w:b/>
          <w:i w:val="false"/>
          <w:color w:val="000000"/>
          <w:sz w:val="22"/>
        </w:rPr>
        <w:t>567—108.10</w:t>
      </w:r>
      <w:r>
        <w:rPr>
          <w:rFonts w:ascii="Times New Roman" w:hAnsi="Times New Roman"/>
          <w:b/>
          <w:i w:val="false"/>
          <w:color w:val="000000"/>
          <w:sz w:val="22"/>
        </w:rPr>
        <w:t xml:space="preserve">(455B,455D) </w:t>
      </w:r>
      <w:r>
        <w:rPr>
          <w:rFonts w:ascii="Times New Roman" w:hAnsi="Times New Roman"/>
          <w:b/>
          <w:i w:val="false"/>
          <w:color w:val="000000"/>
          <w:sz w:val="22"/>
        </w:rPr>
        <w:t xml:space="preserve">Beneficial use of alternative cover material and state goal progress. </w:t>
      </w:r>
      <w:r>
        <w:rPr>
          <w:rFonts w:ascii="Times New Roman" w:hAnsi="Times New Roman"/>
          <w:b w:val="false"/>
          <w:i w:val="false"/>
          <w:color w:val="000000"/>
          <w:sz w:val="22"/>
        </w:rPr>
        <w:t>Alternative cover material placed at no more than the thickness required by sanitary landfill rules shall be exempt from landfill tonnage measurements used for state goal progress and waste diversion calculations.</w:t>
      </w:r>
    </w:p>
    <w:p>
      <w:pPr>
        <w:spacing w:before="0" w:after="0"/>
        <w:ind w:left="120"/>
        <w:jc w:val="both"/>
      </w:pPr>
      <w:r>
        <w:rPr>
          <w:rFonts w:ascii="Times New Roman" w:hAnsi="Times New Roman"/>
          <w:b/>
          <w:i w:val="false"/>
          <w:color w:val="000000"/>
          <w:sz w:val="22"/>
        </w:rPr>
        <w:t>567—108.11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Revocation of beneficial use determinations. </w:t>
      </w:r>
      <w:r>
        <w:rPr>
          <w:rFonts w:ascii="Times New Roman" w:hAnsi="Times New Roman"/>
          <w:b w:val="false"/>
          <w:i w:val="false"/>
          <w:color w:val="000000"/>
          <w:sz w:val="22"/>
        </w:rPr>
        <w:t>The department may revoke any beneficial use determination given pursuant to this chapter if it finds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matters serving as the basis for the department’s determination were incomplete or incorrect or are no longer valid.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finds that there has been a violation of any law, rule, permit or other authorization in its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has reasonable cause to suspect a significant risk to or adverse affect on human health or the environment.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8">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455D.4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1/25/83, Notice 9/15/82—published 2/16/83, effective 3/23/83]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3/25/94, Notice 12/8/93—published 4/13/94, effective 5/18/94]</w:t>
      </w:r>
    </w:p>
    <w:p>
      <w:pPr>
        <w:spacing w:before="0" w:after="0"/>
        <w:ind w:left="120"/>
        <w:jc w:val="center"/>
      </w:pPr>
      <w:r>
        <w:rPr>
          <w:rFonts w:ascii="Times New Roman" w:hAnsi="Times New Roman"/>
          <w:b w:val="false"/>
          <w:i w:val="false"/>
          <w:color w:val="000000"/>
          <w:sz w:val="21"/>
        </w:rPr>
        <w:t>[Filed 2/28/03, Notice 12/11/02—published 3/19/03, effective 4/23/03]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121.pdf" Type="http://schemas.openxmlformats.org/officeDocument/2006/relationships/hyperlink" Id="rId5"/>
    <Relationship TargetMode="External" Target="https://www.legis.iowa.gov/docs/iac/chapter/567.121.pdf" Type="http://schemas.openxmlformats.org/officeDocument/2006/relationships/hyperlink" Id="rId6"/>
    <Relationship TargetMode="External" Target="https://www.legis.iowa.gov/docs/iac/chapter/567.121.pdf" Type="http://schemas.openxmlformats.org/officeDocument/2006/relationships/hyperlink" Id="rId7"/>
    <Relationship TargetMode="External" Target="https://www.legis.iowa.gov/docs/iac/chapter/567.104.pdf" Type="http://schemas.openxmlformats.org/officeDocument/2006/relationships/hyperlink" Id="rId8"/>
    <Relationship TargetMode="External" Target="https://www.legis.iowa.gov/docs/iac/chapter/567.104.pdf" Type="http://schemas.openxmlformats.org/officeDocument/2006/relationships/hyperlink" Id="rId9"/>
    <Relationship TargetMode="External" Target="https://www.legis.iowa.gov/docs/iac/chapter/567.104.pdf" Type="http://schemas.openxmlformats.org/officeDocument/2006/relationships/hyperlink" Id="rId10"/>
    <Relationship TargetMode="External" Target="https://www.legis.iowa.gov/docs/iac/chapter/567.105.pdf" Type="http://schemas.openxmlformats.org/officeDocument/2006/relationships/hyperlink" Id="rId11"/>
    <Relationship TargetMode="External" Target="https://www.legis.iowa.gov/docs/iac/chapter/567.105.pdf" Type="http://schemas.openxmlformats.org/officeDocument/2006/relationships/hyperlink" Id="rId12"/>
    <Relationship TargetMode="External" Target="https://www.legis.iowa.gov/docs/iac/chapter/567.105.pdf" Type="http://schemas.openxmlformats.org/officeDocument/2006/relationships/hyperlink" Id="rId13"/>
    <Relationship TargetMode="External" Target="https://www.legis.iowa.gov/docs/iac/rule/567.108.11.pdf" Type="http://schemas.openxmlformats.org/officeDocument/2006/relationships/hyperlink" Id="rId14"/>
    <Relationship TargetMode="External" Target="https://www.legis.iowa.gov/docs/ico/chapter/455B.301.pdf" Type="http://schemas.openxmlformats.org/officeDocument/2006/relationships/hyperlink" Id="rId15"/>
    <Relationship TargetMode="External" Target="https://www.legis.iowa.gov/docs/iac/rule/567.108.6.pdf" Type="http://schemas.openxmlformats.org/officeDocument/2006/relationships/hyperlink" Id="rId16"/>
    <Relationship TargetMode="External" Target="https://www.legis.iowa.gov/docs/iac/rule/567.108.7.pdf" Type="http://schemas.openxmlformats.org/officeDocument/2006/relationships/hyperlink" Id="rId17"/>
    <Relationship TargetMode="External" Target="https://www.legis.iowa.gov/docs/iac/rule/567.108.11.pdf" Type="http://schemas.openxmlformats.org/officeDocument/2006/relationships/hyperlink" Id="rId18"/>
    <Relationship TargetMode="External" Target="https://www.legis.iowa.gov/docs/iac/rule/567.108.8.pdf" Type="http://schemas.openxmlformats.org/officeDocument/2006/relationships/hyperlink" Id="rId19"/>
    <Relationship TargetMode="External" Target="https://www.legis.iowa.gov/docs/iac/chapter/567.121.pdf" Type="http://schemas.openxmlformats.org/officeDocument/2006/relationships/hyperlink" Id="rId20"/>
    <Relationship TargetMode="External" Target="https://www.legis.iowa.gov/docs/iac/rule/567.108.6.pdf" Type="http://schemas.openxmlformats.org/officeDocument/2006/relationships/hyperlink" Id="rId21"/>
    <Relationship TargetMode="External" Target="https://www.legis.iowa.gov/docs/iac/rule/567.108.6.pdf" Type="http://schemas.openxmlformats.org/officeDocument/2006/relationships/hyperlink" Id="rId22"/>
    <Relationship TargetMode="External" Target="https://www.legis.iowa.gov/docs/iac/rule/567.108.8.pdf" Type="http://schemas.openxmlformats.org/officeDocument/2006/relationships/hyperlink" Id="rId23"/>
    <Relationship TargetMode="External" Target="https://www.legis.iowa.gov/docs/iac/rule/567.108.6.pdf" Type="http://schemas.openxmlformats.org/officeDocument/2006/relationships/hyperlink" Id="rId24"/>
    <Relationship TargetMode="External" Target="https://www.legis.iowa.gov/docs/iac/rule/567.108.8.pdf" Type="http://schemas.openxmlformats.org/officeDocument/2006/relationships/hyperlink" Id="rId25"/>
    <Relationship TargetMode="External" Target="https://www.legis.iowa.gov/docs/iac/chapter/567.105.pdf" Type="http://schemas.openxmlformats.org/officeDocument/2006/relationships/hyperlink" Id="rId26"/>
    <Relationship TargetMode="External" Target="https://www.legis.iowa.gov/docs/iac/rule/567.108.6.pdf" Type="http://schemas.openxmlformats.org/officeDocument/2006/relationships/hyperlink" Id="rId27"/>
    <Relationship TargetMode="External" Target="https://www.legis.iowa.gov/docs/iac/rule/567.108.8.pdf" Type="http://schemas.openxmlformats.org/officeDocument/2006/relationships/hyperlink" Id="rId28"/>
    <Relationship TargetMode="External" Target="https://www.legis.iowa.gov/docs/iac/rule/567.108.6.pdf" Type="http://schemas.openxmlformats.org/officeDocument/2006/relationships/hyperlink" Id="rId29"/>
    <Relationship TargetMode="External" Target="https://www.legis.iowa.gov/docs/iac/rule/567.108.8.pdf" Type="http://schemas.openxmlformats.org/officeDocument/2006/relationships/hyperlink" Id="rId30"/>
    <Relationship TargetMode="External" Target="https://www.legis.iowa.gov/docs/iac/rule/567.108.8.pdf" Type="http://schemas.openxmlformats.org/officeDocument/2006/relationships/hyperlink" Id="rId31"/>
    <Relationship TargetMode="External" Target="https://www.legis.iowa.gov/docs/iac/chapter/567.121.pdf" Type="http://schemas.openxmlformats.org/officeDocument/2006/relationships/hyperlink" Id="rId32"/>
    <Relationship TargetMode="External" Target="https://www.legis.iowa.gov/docs/iac/chapter/567.121.pdf" Type="http://schemas.openxmlformats.org/officeDocument/2006/relationships/hyperlink" Id="rId33"/>
    <Relationship TargetMode="External" Target="https://www.legis.iowa.gov/docs/iac/chapter/567.121.pdf" Type="http://schemas.openxmlformats.org/officeDocument/2006/relationships/hyperlink" Id="rId34"/>
    <Relationship TargetMode="External" Target="https://www.legis.iowa.gov/docs/iac/rule/567.108.6.pdf" Type="http://schemas.openxmlformats.org/officeDocument/2006/relationships/hyperlink" Id="rId35"/>
    <Relationship TargetMode="External" Target="https://www.legis.iowa.gov/docs/iac/rule/567.108.8.pdf" Type="http://schemas.openxmlformats.org/officeDocument/2006/relationships/hyperlink" Id="rId36"/>
    <Relationship TargetMode="External" Target="https://www.legis.iowa.gov/docs/iac/rule/567.108.6.pdf" Type="http://schemas.openxmlformats.org/officeDocument/2006/relationships/hyperlink" Id="rId37"/>
    <Relationship TargetMode="External" Target="https://www.legis.iowa.gov/docs/iac/rule/567.108.8.pdf" Type="http://schemas.openxmlformats.org/officeDocument/2006/relationships/hyperlink" Id="rId38"/>
    <Relationship TargetMode="External" Target="https://www.legis.iowa.gov/docs/iac/chapter/567.120.pdf" Type="http://schemas.openxmlformats.org/officeDocument/2006/relationships/hyperlink" Id="rId39"/>
    <Relationship TargetMode="External" Target="https://www.legis.iowa.gov/docs/iac/rule/567.108.6.pdf" Type="http://schemas.openxmlformats.org/officeDocument/2006/relationships/hyperlink" Id="rId40"/>
    <Relationship TargetMode="External" Target="https://www.legis.iowa.gov/docs/iac/rule/567.108.8.pdf" Type="http://schemas.openxmlformats.org/officeDocument/2006/relationships/hyperlink" Id="rId41"/>
    <Relationship TargetMode="External" Target="https://www.legis.iowa.gov/docs/iac/rule/567.108.8.pdf" Type="http://schemas.openxmlformats.org/officeDocument/2006/relationships/hyperlink" Id="rId42"/>
    <Relationship TargetMode="External" Target="https://www.legis.iowa.gov/docs/iac/chapter/567.117.pdf" Type="http://schemas.openxmlformats.org/officeDocument/2006/relationships/hyperlink" Id="rId43"/>
    <Relationship TargetMode="External" Target="https://www.legis.iowa.gov/docs/iac/rule/567.108.6.pdf" Type="http://schemas.openxmlformats.org/officeDocument/2006/relationships/hyperlink" Id="rId44"/>
    <Relationship TargetMode="External" Target="https://www.legis.iowa.gov/docs/iac/chapter/567.121.pdf" Type="http://schemas.openxmlformats.org/officeDocument/2006/relationships/hyperlink" Id="rId45"/>
    <Relationship TargetMode="External" Target="https://www.legis.iowa.gov/docs/iac/rule/567.108.6.pdf" Type="http://schemas.openxmlformats.org/officeDocument/2006/relationships/hyperlink" Id="rId46"/>
    <Relationship TargetMode="External" Target="https://www.legis.iowa.gov/docs/iac/rule/567.108.4.pdf" Type="http://schemas.openxmlformats.org/officeDocument/2006/relationships/hyperlink" Id="rId47"/>
    <Relationship TargetMode="External" Target="https://www.legis.iowa.gov/docs/iac/rule/567.108.6.pdf" Type="http://schemas.openxmlformats.org/officeDocument/2006/relationships/hyperlink" Id="rId48"/>
    <Relationship TargetMode="External" Target="https://www.legis.iowa.gov/docs/iac/rule/567.108.4.pdf" Type="http://schemas.openxmlformats.org/officeDocument/2006/relationships/hyperlink" Id="rId49"/>
    <Relationship TargetMode="External" Target="https://www.legis.iowa.gov/docs/iac/chapter/567.137.pdf" Type="http://schemas.openxmlformats.org/officeDocument/2006/relationships/hyperlink" Id="rId50"/>
    <Relationship TargetMode="External" Target="https://www.legis.iowa.gov/docs/iac/rule/567.71.5.pdf" Type="http://schemas.openxmlformats.org/officeDocument/2006/relationships/hyperlink" Id="rId51"/>
    <Relationship TargetMode="External" Target="https://www.legis.iowa.gov/docs/iac/rule/567.108.5.pdf" Type="http://schemas.openxmlformats.org/officeDocument/2006/relationships/hyperlink" Id="rId52"/>
    <Relationship TargetMode="External" Target="https://www.legis.iowa.gov/docs/iac/rule/567.108.4.pdf" Type="http://schemas.openxmlformats.org/officeDocument/2006/relationships/hyperlink" Id="rId53"/>
    <Relationship TargetMode="External" Target="https://www.legis.iowa.gov/docs/iac/rule/567.108.5.pdf" Type="http://schemas.openxmlformats.org/officeDocument/2006/relationships/hyperlink" Id="rId54"/>
    <Relationship TargetMode="External" Target="https://www.legis.iowa.gov/docs/iac/rule/567.108.11.pdf" Type="http://schemas.openxmlformats.org/officeDocument/2006/relationships/hyperlink" Id="rId55"/>
    <Relationship TargetMode="External" Target="https://www.legis.iowa.gov/docs/iac/chapter/567.120.pdf" Type="http://schemas.openxmlformats.org/officeDocument/2006/relationships/hyperlink" Id="rId56"/>
    <Relationship TargetMode="External" Target="https://www.legis.iowa.gov/docs/iac/rule/567.108.8.pdf" Type="http://schemas.openxmlformats.org/officeDocument/2006/relationships/hyperlink" Id="rId57"/>
    <Relationship TargetMode="External" Target="https://www.legis.iowa.gov/docs/ico/chapter/455B.304.pdf" Type="http://schemas.openxmlformats.org/officeDocument/2006/relationships/hyperlink" Id="rId58"/>
    <Relationship TargetMode="External" Target="https://www.legis.iowa.gov/docs/ico/chapter/455D.4.pdf" Type="http://schemas.openxmlformats.org/officeDocument/2006/relationships/hyperlink"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