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CITIZEN CONVENIENCE CENTERS AND TRANSFER STATIONS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567—106.1</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w:t>
      </w:r>
      <w:r>
        <w:rPr>
          <w:rFonts w:ascii="Times New Roman" w:hAnsi="Times New Roman"/>
          <w:b w:val="false"/>
          <w:i w:val="false"/>
          <w:color w:val="000000"/>
          <w:sz w:val="22"/>
        </w:rPr>
        <w:t>All existing citizen convenience centers and transfer stations shall be inspected and reviewed by the department to ensure compliance with these rules. These rules do not apply to medical waste transfer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w:t>
      </w:r>
      <w:r>
        <w:rPr>
          <w:rFonts w:ascii="Times New Roman" w:hAnsi="Times New Roman"/>
          <w:b w:val="false"/>
          <w:i w:val="false"/>
          <w:color w:val="000000"/>
          <w:sz w:val="22"/>
        </w:rPr>
        <w:t> </w:t>
      </w:r>
      <w:r>
        <w:rPr>
          <w:rFonts w:ascii="Times New Roman" w:hAnsi="Times New Roman"/>
          <w:b w:val="false"/>
          <w:i w:val="false"/>
          <w:color w:val="000000"/>
          <w:sz w:val="22"/>
        </w:rPr>
        <w:t>If a citizen convenience center or transfer station existing before July 17, 2002, is not in compliance, the department shall notify that facility in writing of the specific deficiencies. The facility shall then submit to the department in writing a compliance schedule for that facility within 30 days of notification by the department. The compliance schedule shall not exceed two years from the date of written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existing facility does not achieve compliance within two years from the date of written notification by the department, the facility shall close pursuant to </w:t>
      </w:r>
      <w:hyperlink r:id="rId5">
        <w:r>
          <w:rPr>
            <w:rStyle w:val="Hyperlink"/>
            <w:rFonts w:ascii="Times New Roman" w:hAnsi="Times New Roman"/>
            <w:b w:val="false"/>
            <w:i w:val="false"/>
            <w:color w:val="000000"/>
            <w:sz w:val="22"/>
          </w:rPr>
          <w:t>567—106.7</w:t>
        </w:r>
      </w:hyperlink>
      <w:r>
        <w:rPr>
          <w:rFonts w:ascii="Times New Roman" w:hAnsi="Times New Roman"/>
          <w:b w:val="false"/>
          <w:i w:val="false"/>
          <w:color w:val="000000"/>
          <w:sz w:val="22"/>
        </w:rPr>
        <w:t xml:space="preserve">(455B) if it is a citizen convenience center or </w:t>
      </w:r>
      <w:hyperlink r:id="rId6">
        <w:r>
          <w:rPr>
            <w:rStyle w:val="Hyperlink"/>
            <w:rFonts w:ascii="Times New Roman" w:hAnsi="Times New Roman"/>
            <w:b w:val="false"/>
            <w:i w:val="false"/>
            <w:color w:val="000000"/>
            <w:sz w:val="22"/>
          </w:rPr>
          <w:t>567—106.17</w:t>
        </w:r>
      </w:hyperlink>
      <w:r>
        <w:rPr>
          <w:rFonts w:ascii="Times New Roman" w:hAnsi="Times New Roman"/>
          <w:b w:val="false"/>
          <w:i w:val="false"/>
          <w:color w:val="000000"/>
          <w:sz w:val="22"/>
        </w:rPr>
        <w:t>(455B) if it is a transfer station.</w:t>
      </w:r>
    </w:p>
    <w:p>
      <w:pPr>
        <w:spacing w:before="0" w:after="0"/>
        <w:ind w:left="120"/>
        <w:jc w:val="both"/>
      </w:pPr>
      <w:r>
        <w:rPr>
          <w:rFonts w:ascii="Times New Roman" w:hAnsi="Times New Roman"/>
          <w:b/>
          <w:i w:val="false"/>
          <w:color w:val="000000"/>
          <w:sz w:val="22"/>
        </w:rPr>
        <w:t>567—106.2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set out in Iowa Code section </w:t>
      </w:r>
      <w:hyperlink r:id="rId7">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which shall be considered incorporated by reference in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“Citizen convenience center” </w:t>
      </w:r>
      <w:r>
        <w:rPr>
          <w:rFonts w:ascii="Times New Roman" w:hAnsi="Times New Roman"/>
          <w:b w:val="false"/>
          <w:i w:val="false"/>
          <w:color w:val="000000"/>
          <w:sz w:val="22"/>
        </w:rPr>
        <w:t>means a permanent, fixed-location facility that has the primary purpose of receiving solid waste from citizens and small businesses that do not utilize solid waste collection vehicles or satellite solid waste collection vehicles. A citizen convenience center is a sanitary disposal project and may hold solid waste for a short period of time before collection. A citizen convenience center is not a transfer station or final disposal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“Hot load” </w:t>
      </w:r>
      <w:r>
        <w:rPr>
          <w:rFonts w:ascii="Times New Roman" w:hAnsi="Times New Roman"/>
          <w:b w:val="false"/>
          <w:i w:val="false"/>
          <w:color w:val="000000"/>
          <w:sz w:val="22"/>
        </w:rPr>
        <w:t>means solid waste that is smoking, smoldering, emitting flames or hot gases or otherwise indicating that the solid waste is in the process of combustion or close to igniting.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solid waste transfer” </w:t>
      </w:r>
      <w:r>
        <w:rPr>
          <w:rFonts w:ascii="Times New Roman" w:hAnsi="Times New Roman"/>
          <w:b w:val="false"/>
          <w:i w:val="false"/>
          <w:color w:val="000000"/>
          <w:sz w:val="22"/>
        </w:rPr>
        <w:t>means the truck-to-truck transfer of solid waste from a satellite solid waste collection vehicle to a solid waste collection vehicle, if that solid waste could be collected only by a satellite solid waste collection vehicle due to vehicle access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“Satellite solid waste collection vehicle” </w:t>
      </w:r>
      <w:r>
        <w:rPr>
          <w:rFonts w:ascii="Times New Roman" w:hAnsi="Times New Roman"/>
          <w:b w:val="false"/>
          <w:i w:val="false"/>
          <w:color w:val="000000"/>
          <w:sz w:val="22"/>
        </w:rPr>
        <w:t>means a small, specialized solid waste collection vehicle that has been specifically designed to service locations that have vehicle access restrictions that would otherwise render solid waste collection technically prohibitive.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collection vehicle” </w:t>
      </w:r>
      <w:r>
        <w:rPr>
          <w:rFonts w:ascii="Times New Roman" w:hAnsi="Times New Roman"/>
          <w:b w:val="false"/>
          <w:i w:val="false"/>
          <w:color w:val="000000"/>
          <w:sz w:val="22"/>
        </w:rPr>
        <w:t>means a vehicle that has the primary purpose of collecting solid waste from a variety of locations, including at curbside and from dumpsters, compactors, and roll-off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transport vehicle” </w:t>
      </w:r>
      <w:r>
        <w:rPr>
          <w:rFonts w:ascii="Times New Roman" w:hAnsi="Times New Roman"/>
          <w:b w:val="false"/>
          <w:i w:val="false"/>
          <w:color w:val="000000"/>
          <w:sz w:val="22"/>
        </w:rPr>
        <w:t>means a vehicle that serves the purpose of transporting solid waste received by a transfer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“Surge pit” </w:t>
      </w:r>
      <w:r>
        <w:rPr>
          <w:rFonts w:ascii="Times New Roman" w:hAnsi="Times New Roman"/>
          <w:b w:val="false"/>
          <w:i w:val="false"/>
          <w:color w:val="000000"/>
          <w:sz w:val="22"/>
        </w:rPr>
        <w:t>means a pit inside a transfer station building that receives solid waste from the tipping floor or directly from solid waste collection vehicles. Surge pits provide more space for temporary storage during peak operating hours and allow for additional compaction of the solid waste before it is loaded into solid waste transport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station” </w:t>
      </w:r>
      <w:r>
        <w:rPr>
          <w:rFonts w:ascii="Times New Roman" w:hAnsi="Times New Roman"/>
          <w:b w:val="false"/>
          <w:i w:val="false"/>
          <w:color w:val="000000"/>
          <w:sz w:val="22"/>
        </w:rPr>
        <w:t>means a permanent, fixed-location, enclosed transportation terminal that has the primary purpose of receiving solid waste from solid waste collection vehicles and loading that solid waste into solid waste transport vehicles. Truck-to-truck transfer of solid waste that is not incidental solid waste transfer is not allowed outside a transfer station building. A transfer station is a sanitary disposal project and may hold or store solid waste before transport for a short period of time. A transfer station is not a final disposal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“Truck-to-truck transfer” </w:t>
      </w:r>
      <w:r>
        <w:rPr>
          <w:rFonts w:ascii="Times New Roman" w:hAnsi="Times New Roman"/>
          <w:b w:val="false"/>
          <w:i w:val="false"/>
          <w:color w:val="000000"/>
          <w:sz w:val="22"/>
        </w:rPr>
        <w:t>means the direct transfer of solid waste from one vehicle to a second vehicle with no intermediary handling. Truck-to-truck transfer of solid waste that is not incidental solid waste transfer is not allowed outside a transfer station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“Vector” </w:t>
      </w:r>
      <w:r>
        <w:rPr>
          <w:rFonts w:ascii="Times New Roman" w:hAnsi="Times New Roman"/>
          <w:b w:val="false"/>
          <w:i w:val="false"/>
          <w:color w:val="000000"/>
          <w:sz w:val="22"/>
        </w:rPr>
        <w:t>means a carrier organism that is capable of transmitting a pathogen from one organism to another. Vectors include, but are not limited to, birds, rats and other rodents, and insects.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“Washwater” </w:t>
      </w:r>
      <w:r>
        <w:rPr>
          <w:rFonts w:ascii="Times New Roman" w:hAnsi="Times New Roman"/>
          <w:b w:val="false"/>
          <w:i w:val="false"/>
          <w:color w:val="000000"/>
          <w:sz w:val="22"/>
        </w:rPr>
        <w:t>means a water-based liquid that has either originated from solid waste unloaded inside the enclosed portion of a transfer station or that has come into contact with enclosed transfer station areas that have come into contact with solid waste.</w:t>
      </w:r>
    </w:p>
    <w:p>
      <w:pPr>
        <w:spacing w:before="0" w:after="0"/>
        <w:ind w:left="120"/>
        <w:jc w:val="both"/>
      </w:pPr>
      <w:r>
        <w:rPr>
          <w:rFonts w:ascii="Times New Roman" w:hAnsi="Times New Roman"/>
          <w:b/>
          <w:i w:val="false"/>
          <w:color w:val="000000"/>
          <w:sz w:val="22"/>
        </w:rPr>
        <w:t>567—106.3</w:t>
      </w:r>
      <w:r>
        <w:rPr>
          <w:rFonts w:ascii="Times New Roman" w:hAnsi="Times New Roman"/>
          <w:b/>
          <w:i w:val="false"/>
          <w:color w:val="000000"/>
          <w:sz w:val="22"/>
        </w:rPr>
        <w:t xml:space="preserve">(455B) </w:t>
      </w:r>
      <w:r>
        <w:rPr>
          <w:rFonts w:ascii="Times New Roman" w:hAnsi="Times New Roman"/>
          <w:b/>
          <w:i w:val="false"/>
          <w:color w:val="000000"/>
          <w:sz w:val="22"/>
        </w:rPr>
        <w:t xml:space="preserve">Citizen convenience center and transfer station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A citizen convenience center or a transfer station is a sanitary disposal project and shall not be constructed or operated without a permit from the department. In order to be issued a permit, a citizen convenience center or transfer station must satisfy the comprehensive planning requirements set forth in </w:t>
      </w:r>
      <w:hyperlink r:id="rId8">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The issuance of a permit by the department in no way relieves the applicant of the responsibility of complying with all other local, state, or federal statutes, ordinances, and rules or other requirements applicable to the construction and operation of a citizen convenience center or transfer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106.3(2)</w:t>
      </w:r>
      <w:r>
        <w:rPr>
          <w:rFonts w:ascii="Times New Roman" w:hAnsi="Times New Roman"/>
          <w:b w:val="false"/>
          <w:i w:val="false"/>
          <w:color w:val="000000"/>
          <w:sz w:val="22"/>
        </w:rPr>
        <w:t> </w:t>
      </w:r>
      <w:r>
        <w:rPr>
          <w:rFonts w:ascii="Times New Roman" w:hAnsi="Times New Roman"/>
          <w:b w:val="false"/>
          <w:i/>
          <w:color w:val="000000"/>
          <w:sz w:val="22"/>
        </w:rPr>
        <w:t xml:space="preserve">Citizen convenience center permit exemption. </w:t>
      </w:r>
      <w:r>
        <w:rPr>
          <w:rFonts w:ascii="Times New Roman" w:hAnsi="Times New Roman"/>
          <w:b w:val="false"/>
          <w:i w:val="false"/>
          <w:color w:val="000000"/>
          <w:sz w:val="22"/>
        </w:rPr>
        <w:t>If a citizen convenience center is located at a permitted recycling or composting facility or sanitary disposal project, it shall not require its own permit; instead, the citizen convenience center shall be amended into the host facility’s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operation. </w:t>
      </w:r>
      <w:r>
        <w:rPr>
          <w:rFonts w:ascii="Times New Roman" w:hAnsi="Times New Roman"/>
          <w:b w:val="false"/>
          <w:i w:val="false"/>
          <w:color w:val="000000"/>
          <w:sz w:val="22"/>
        </w:rPr>
        <w:t>A citizen convenience center or transfer station shall be constructed and operated according to the plans and specifications approved by the department and the conditions of the permit. The approved plans and specifications shall constitute a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106.3(4)</w:t>
      </w:r>
      <w:r>
        <w:rPr>
          <w:rFonts w:ascii="Times New Roman" w:hAnsi="Times New Roman"/>
          <w:b w:val="false"/>
          <w:i w:val="false"/>
          <w:color w:val="000000"/>
          <w:sz w:val="22"/>
        </w:rPr>
        <w:t> </w:t>
      </w:r>
      <w:r>
        <w:rPr>
          <w:rFonts w:ascii="Times New Roman" w:hAnsi="Times New Roman"/>
          <w:b w:val="false"/>
          <w:i/>
          <w:color w:val="000000"/>
          <w:sz w:val="22"/>
        </w:rPr>
        <w:t xml:space="preserve">Transfer of title and permit. </w:t>
      </w:r>
      <w:r>
        <w:rPr>
          <w:rFonts w:ascii="Times New Roman" w:hAnsi="Times New Roman"/>
          <w:b w:val="false"/>
          <w:i w:val="false"/>
          <w:color w:val="000000"/>
          <w:sz w:val="22"/>
        </w:rPr>
        <w:t>If title to a citizen convenience center or transfer station is transferred, then the department shall transfer the permit within 60 days if the department has found that the following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transferee has applied in writing to the department to request a transfer of the permit within 30 days of the transfer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permitted facility is in compliance with Iowa Code chapters </w:t>
      </w:r>
      <w:hyperlink r:id="rId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these rules and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 xml:space="preserve">Any permit may be issued subject to conditions specified in writing by the department that are necessary to ensure that the sanitary disposal project is constructed and operated in compliance with Iowa Code chapters </w:t>
      </w:r>
      <w:hyperlink r:id="rId1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106.3(6)</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a permit for a citizen convenience center or transfer station held by any public or private agency is revoked by the director, then no new permit shall be issued to that agency for that sanitary disposal project for a period of one year from the date of revocation. Such revocation shall not prohibit the issuance of a permit for the sanitary disposal project to another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106.3(7)</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commencing new operation. </w:t>
      </w:r>
      <w:r>
        <w:rPr>
          <w:rFonts w:ascii="Times New Roman" w:hAnsi="Times New Roman"/>
          <w:b w:val="false"/>
          <w:i w:val="false"/>
          <w:color w:val="000000"/>
          <w:sz w:val="22"/>
        </w:rPr>
        <w:t>The department shall be notified when the construction of a new citizen convenience center or a transfer station has been completed. The department shall then complete an inspection of the facility to determine if the sanitary disposal project has been constructed in accordance with the plans and specifications and permit requirements. No solid waste shall be accepted by the facility until it has been inspected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106.3(8)</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permits. </w:t>
      </w:r>
      <w:r>
        <w:rPr>
          <w:rFonts w:ascii="Times New Roman" w:hAnsi="Times New Roman"/>
          <w:b w:val="false"/>
          <w:i w:val="false"/>
          <w:color w:val="000000"/>
          <w:sz w:val="22"/>
        </w:rPr>
        <w:t xml:space="preserve">A citizen convenience center or transfer station permit shall be issued for a period of three years and is renewable, unless otherwise specified by conditions set forth in subrule </w:t>
      </w:r>
      <w:hyperlink r:id="rId13">
        <w:r>
          <w:rPr>
            <w:rStyle w:val="Hyperlink"/>
            <w:rFonts w:ascii="Times New Roman" w:hAnsi="Times New Roman"/>
            <w:b w:val="false"/>
            <w:i w:val="false"/>
            <w:color w:val="000000"/>
            <w:sz w:val="22"/>
          </w:rPr>
          <w:t>106.3(5)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106.3(9)</w:t>
      </w:r>
      <w:r>
        <w:rPr>
          <w:rFonts w:ascii="Times New Roman" w:hAnsi="Times New Roman"/>
          <w:b w:val="false"/>
          <w:i w:val="false"/>
          <w:color w:val="000000"/>
          <w:sz w:val="22"/>
        </w:rPr>
        <w:t> </w:t>
      </w:r>
      <w:r>
        <w:rPr>
          <w:rFonts w:ascii="Times New Roman" w:hAnsi="Times New Roman"/>
          <w:b w:val="false"/>
          <w:i/>
          <w:color w:val="000000"/>
          <w:sz w:val="22"/>
        </w:rPr>
        <w:t xml:space="preserve">Request and approval of permit renewal. </w:t>
      </w:r>
      <w:r>
        <w:rPr>
          <w:rFonts w:ascii="Times New Roman" w:hAnsi="Times New Roman"/>
          <w:b w:val="false"/>
          <w:i w:val="false"/>
          <w:color w:val="000000"/>
          <w:sz w:val="22"/>
        </w:rPr>
        <w:t xml:space="preserve">A request for permit renewal shall be in writing and must be filed at least 90 days before the expiration of the current permit by submitting Form 50 (542-1542) to the department. The department may request that additional information be submitted for review in order to make a permit renewal decision. The department shall renew the permit if, after a review and inspection of the facility and its compliance history, the department finds that the facility is in compliance with Iowa Code chapters </w:t>
      </w:r>
      <w:hyperlink r:id="rId1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these rules and the conditions of the permit, and is making a good-faith effort to maintain compliance. If the facility is found not to be in compliance with Iowa Code chapters </w:t>
      </w:r>
      <w:hyperlink r:id="rId1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these rules, and the conditions of the permit or if a good-faith effort to maintain compliance is not being made, the sanitary disposal project shall be brought into compliance or placed on a compliance schedule approved by the department before the permit is renewed. The permit may be renewed with new conditions pursuant to subrule </w:t>
      </w:r>
      <w:hyperlink r:id="rId18">
        <w:r>
          <w:rPr>
            <w:rStyle w:val="Hyperlink"/>
            <w:rFonts w:ascii="Times New Roman" w:hAnsi="Times New Roman"/>
            <w:b w:val="false"/>
            <w:i w:val="false"/>
            <w:color w:val="000000"/>
            <w:sz w:val="22"/>
          </w:rPr>
          <w:t>106.3(5)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106.3(10)</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modification. </w:t>
      </w:r>
      <w:r>
        <w:rPr>
          <w:rFonts w:ascii="Times New Roman" w:hAnsi="Times New Roman"/>
          <w:b w:val="false"/>
          <w:i w:val="false"/>
          <w:color w:val="000000"/>
          <w:sz w:val="22"/>
        </w:rPr>
        <w:t xml:space="preserve">A request for permit modification shall be submitted in writing to the department with supporting documentation and materials. The department may request that additional information be submitted for review in order to make a permit modification decision. The department may also request that information pursuant to rule </w:t>
      </w:r>
      <w:hyperlink r:id="rId19">
        <w:r>
          <w:rPr>
            <w:rStyle w:val="Hyperlink"/>
            <w:rFonts w:ascii="Times New Roman" w:hAnsi="Times New Roman"/>
            <w:b w:val="false"/>
            <w:i w:val="false"/>
            <w:color w:val="000000"/>
            <w:sz w:val="22"/>
          </w:rPr>
          <w:t>106.4</w:t>
        </w:r>
      </w:hyperlink>
      <w:r>
        <w:rPr>
          <w:rFonts w:ascii="Times New Roman" w:hAnsi="Times New Roman"/>
          <w:b w:val="false"/>
          <w:i w:val="false"/>
          <w:color w:val="000000"/>
          <w:sz w:val="22"/>
        </w:rPr>
        <w:t xml:space="preserve">(455B) for citizen convenience centers or rule </w:t>
      </w:r>
      <w:hyperlink r:id="rId20">
        <w:r>
          <w:rPr>
            <w:rStyle w:val="Hyperlink"/>
            <w:rFonts w:ascii="Times New Roman" w:hAnsi="Times New Roman"/>
            <w:b w:val="false"/>
            <w:i w:val="false"/>
            <w:color w:val="000000"/>
            <w:sz w:val="22"/>
          </w:rPr>
          <w:t>106.8</w:t>
        </w:r>
      </w:hyperlink>
      <w:r>
        <w:rPr>
          <w:rFonts w:ascii="Times New Roman" w:hAnsi="Times New Roman"/>
          <w:b w:val="false"/>
          <w:i w:val="false"/>
          <w:color w:val="000000"/>
          <w:sz w:val="22"/>
        </w:rPr>
        <w:t xml:space="preserve">(455B) for transfer stations be resubmitted, in part or in whole, in order to make a permit modification decision. The modified permit may be approved with new conditions pursuant to subrule </w:t>
      </w:r>
      <w:hyperlink r:id="rId21">
        <w:r>
          <w:rPr>
            <w:rStyle w:val="Hyperlink"/>
            <w:rFonts w:ascii="Times New Roman" w:hAnsi="Times New Roman"/>
            <w:b w:val="false"/>
            <w:i w:val="false"/>
            <w:color w:val="000000"/>
            <w:sz w:val="22"/>
          </w:rPr>
          <w:t>106.3(5)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106.3(11)</w:t>
      </w:r>
      <w:r>
        <w:rPr>
          <w:rFonts w:ascii="Times New Roman" w:hAnsi="Times New Roman"/>
          <w:b w:val="false"/>
          <w:i w:val="false"/>
          <w:color w:val="000000"/>
          <w:sz w:val="22"/>
        </w:rPr>
        <w:t> </w:t>
      </w:r>
      <w:r>
        <w:rPr>
          <w:rFonts w:ascii="Times New Roman" w:hAnsi="Times New Roman"/>
          <w:b w:val="false"/>
          <w:i/>
          <w:color w:val="000000"/>
          <w:sz w:val="22"/>
        </w:rPr>
        <w:t xml:space="preserve">Emergency solid waste transfer permit. </w:t>
      </w:r>
      <w:r>
        <w:rPr>
          <w:rFonts w:ascii="Times New Roman" w:hAnsi="Times New Roman"/>
          <w:b w:val="false"/>
          <w:i w:val="false"/>
          <w:color w:val="000000"/>
          <w:sz w:val="22"/>
        </w:rPr>
        <w:t>If a primary sanitary disposal project in a service area becomes inoperable, the department may issue an emergency solid waste transfer permit for a period of time no longer than necessary for a sanitary disposal project that provides replacement capacity to be constructed and become operational. The department may also issue an emergency solid waste transfer permit for a period of time no longer than necessary for a sanitary disposal project to return to permitted capacity if more solid waste is produced by an extraordinary event than can be managed by a sanitary disposal project. The conditions of an emergency solid waste transfer permit shall be determined by the department and may be used as an alternative to the requirements of this chapter. The department shall issue an emergency solid waste transfer permit only if the department has determined that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not technically feasible to direct haul with solid waste collection vehicles and manage the solid waste at another sanitary disposal project or combination thereof in the service area or surrounding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Solid waste must be transferred from the area in order to protect human health and the environment.</w:t>
      </w:r>
    </w:p>
    <w:p>
      <w:pPr>
        <w:spacing w:before="0" w:after="0"/>
        <w:ind w:left="120"/>
        <w:jc w:val="both"/>
      </w:pPr>
      <w:r>
        <w:rPr>
          <w:rFonts w:ascii="Times New Roman" w:hAnsi="Times New Roman"/>
          <w:b/>
          <w:i w:val="false"/>
          <w:color w:val="000000"/>
          <w:sz w:val="22"/>
        </w:rPr>
        <w:t>567—106.4</w:t>
      </w:r>
      <w:r>
        <w:rPr>
          <w:rFonts w:ascii="Times New Roman" w:hAnsi="Times New Roman"/>
          <w:b/>
          <w:i w:val="false"/>
          <w:color w:val="000000"/>
          <w:sz w:val="22"/>
        </w:rPr>
        <w:t xml:space="preserve">(455B) </w:t>
      </w:r>
      <w:r>
        <w:rPr>
          <w:rFonts w:ascii="Times New Roman" w:hAnsi="Times New Roman"/>
          <w:b/>
          <w:i w:val="false"/>
          <w:color w:val="000000"/>
          <w:sz w:val="22"/>
        </w:rPr>
        <w:t xml:space="preserve">Citizen convenience center permit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w:t>
      </w:r>
      <w:r>
        <w:rPr>
          <w:rFonts w:ascii="Times New Roman" w:hAnsi="Times New Roman"/>
          <w:b w:val="false"/>
          <w:i w:val="false"/>
          <w:color w:val="000000"/>
          <w:sz w:val="22"/>
        </w:rPr>
        <w:t> </w:t>
      </w:r>
      <w:r>
        <w:rPr>
          <w:rFonts w:ascii="Times New Roman" w:hAnsi="Times New Roman"/>
          <w:b w:val="false"/>
          <w:i w:val="false"/>
          <w:color w:val="000000"/>
          <w:sz w:val="22"/>
        </w:rPr>
        <w:t>A citizen convenience center permit applicant shall submit the following permit application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 of site where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Professional engineer (P.E.) licensed in the state of Iowa and retained for the design of the facility,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map or aerial photograph locating the boundaries of the site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North and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250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250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Section lines or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and legal entitlement to use the site as a citizen convenience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Days and hours of operation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service area of the facility and political jurisdictions included 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weight of solid waste to be handled per day, week,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disposal process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site design illustrating the facility, which may include engineering plans and specifications completed by the engineer listed in </w:t>
      </w:r>
      <w:hyperlink r:id="rId22">
        <w:r>
          <w:rPr>
            <w:rStyle w:val="Hyperlink"/>
            <w:rFonts w:ascii="Times New Roman" w:hAnsi="Times New Roman"/>
            <w:b w:val="false"/>
            <w:i w:val="false"/>
            <w:color w:val="000000"/>
            <w:sz w:val="22"/>
          </w:rPr>
          <w:t>106.4(1)</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of operations detailing how the site will comply with rule </w:t>
      </w:r>
      <w:hyperlink r:id="rId23">
        <w:r>
          <w:rPr>
            <w:rStyle w:val="Hyperlink"/>
            <w:rFonts w:ascii="Times New Roman" w:hAnsi="Times New Roman"/>
            <w:b w:val="false"/>
            <w:i w:val="false"/>
            <w:color w:val="000000"/>
            <w:sz w:val="22"/>
          </w:rPr>
          <w:t>106.5(455B)</w:t>
        </w:r>
      </w:hyperlink>
      <w:r>
        <w:rPr>
          <w:rFonts w:ascii="Times New Roman" w:hAnsi="Times New Roman"/>
          <w:b w:val="false"/>
          <w:i w:val="false"/>
          <w:color w:val="000000"/>
          <w:sz w:val="22"/>
        </w:rPr>
        <w:t xml:space="preserve"> and with rule </w:t>
      </w:r>
      <w:hyperlink r:id="rId24">
        <w:r>
          <w:rPr>
            <w:rStyle w:val="Hyperlink"/>
            <w:rFonts w:ascii="Times New Roman" w:hAnsi="Times New Roman"/>
            <w:b w:val="false"/>
            <w:i w:val="false"/>
            <w:color w:val="000000"/>
            <w:sz w:val="22"/>
          </w:rPr>
          <w:t>106.6(455B,455D)</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closure plan detailing how the site will comply with rules </w:t>
      </w:r>
      <w:hyperlink r:id="rId25">
        <w:r>
          <w:rPr>
            <w:rStyle w:val="Hyperlink"/>
            <w:rFonts w:ascii="Times New Roman" w:hAnsi="Times New Roman"/>
            <w:b w:val="false"/>
            <w:i w:val="false"/>
            <w:color w:val="000000"/>
            <w:sz w:val="22"/>
          </w:rPr>
          <w:t>106.7(455B)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106.18(455B)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(ERRAP) pursuant to rule </w:t>
      </w:r>
      <w:hyperlink r:id="rId27">
        <w:r>
          <w:rPr>
            <w:rStyle w:val="Hyperlink"/>
            <w:rFonts w:ascii="Times New Roman" w:hAnsi="Times New Roman"/>
            <w:b w:val="false"/>
            <w:i w:val="false"/>
            <w:color w:val="000000"/>
            <w:sz w:val="22"/>
          </w:rPr>
          <w:t>106.19(455B)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106.4(2)</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the permit application information to be incomplete, it shall notify the applicant in writing of that fact and of the specific deficiencies and return the application materials to the applicant within 30 days of such notification. The applicant may reapply without prejudice.</w:t>
      </w:r>
    </w:p>
    <w:p>
      <w:pPr>
        <w:spacing w:before="0" w:after="0"/>
        <w:ind w:left="120"/>
        <w:jc w:val="both"/>
      </w:pPr>
      <w:r>
        <w:rPr>
          <w:rFonts w:ascii="Times New Roman" w:hAnsi="Times New Roman"/>
          <w:b/>
          <w:i w:val="false"/>
          <w:color w:val="000000"/>
          <w:sz w:val="22"/>
        </w:rPr>
        <w:t>567—106.5</w:t>
      </w:r>
      <w:r>
        <w:rPr>
          <w:rFonts w:ascii="Times New Roman" w:hAnsi="Times New Roman"/>
          <w:b/>
          <w:i w:val="false"/>
          <w:color w:val="000000"/>
          <w:sz w:val="22"/>
        </w:rPr>
        <w:t xml:space="preserve">(455B) </w:t>
      </w:r>
      <w:r>
        <w:rPr>
          <w:rFonts w:ascii="Times New Roman" w:hAnsi="Times New Roman"/>
          <w:b/>
          <w:i w:val="false"/>
          <w:color w:val="000000"/>
          <w:sz w:val="22"/>
        </w:rPr>
        <w:t xml:space="preserve">Citizen convenience center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106.5(1)</w:t>
      </w:r>
      <w:r>
        <w:rPr>
          <w:rFonts w:ascii="Times New Roman" w:hAnsi="Times New Roman"/>
          <w:b w:val="false"/>
          <w:i w:val="false"/>
          <w:color w:val="000000"/>
          <w:sz w:val="22"/>
        </w:rPr>
        <w:t> </w:t>
      </w:r>
      <w:r>
        <w:rPr>
          <w:rFonts w:ascii="Times New Roman" w:hAnsi="Times New Roman"/>
          <w:b w:val="false"/>
          <w:i w:val="false"/>
          <w:color w:val="000000"/>
          <w:sz w:val="22"/>
        </w:rPr>
        <w:t xml:space="preserve">Solid waste shall be accepted only from citizens and small businesses residing in the service area designated in </w:t>
      </w:r>
      <w:hyperlink r:id="rId28">
        <w:r>
          <w:rPr>
            <w:rStyle w:val="Hyperlink"/>
            <w:rFonts w:ascii="Times New Roman" w:hAnsi="Times New Roman"/>
            <w:b w:val="false"/>
            <w:i w:val="false"/>
            <w:color w:val="000000"/>
            <w:sz w:val="22"/>
          </w:rPr>
          <w:t>106.4(1)</w:t>
        </w:r>
      </w:hyperlink>
      <w:r>
        <w:rPr>
          <w:rFonts w:ascii="Times New Roman" w:hAnsi="Times New Roman"/>
          <w:b w:val="false"/>
          <w:i/>
          <w:color w:val="000000"/>
          <w:sz w:val="22"/>
        </w:rPr>
        <w:t>“f.”</w:t>
      </w:r>
      <w:r>
        <w:rPr>
          <w:rFonts w:ascii="Times New Roman" w:hAnsi="Times New Roman"/>
          <w:b w:val="false"/>
          <w:i w:val="false"/>
          <w:color w:val="000000"/>
          <w:sz w:val="22"/>
        </w:rPr>
        <w:t xml:space="preserve"> Solid waste shall not be accepted from solid waste collection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106.5(2)</w:t>
      </w:r>
      <w:r>
        <w:rPr>
          <w:rFonts w:ascii="Times New Roman" w:hAnsi="Times New Roman"/>
          <w:b w:val="false"/>
          <w:i w:val="false"/>
          <w:color w:val="000000"/>
          <w:sz w:val="22"/>
        </w:rPr>
        <w:t> </w:t>
      </w:r>
      <w:r>
        <w:rPr>
          <w:rFonts w:ascii="Times New Roman" w:hAnsi="Times New Roman"/>
          <w:b w:val="false"/>
          <w:i w:val="false"/>
          <w:color w:val="000000"/>
          <w:sz w:val="22"/>
        </w:rPr>
        <w:t>All solid waste received shall be loaded into dumpsters, compactors, or roll-off boxes and collected by solid waste collection vehicles. Solid waste shall not be loaded into solid waste transport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w:t>
      </w:r>
      <w:r>
        <w:rPr>
          <w:rFonts w:ascii="Times New Roman" w:hAnsi="Times New Roman"/>
          <w:b w:val="false"/>
          <w:i w:val="false"/>
          <w:color w:val="000000"/>
          <w:sz w:val="22"/>
        </w:rPr>
        <w:t> </w:t>
      </w:r>
      <w:r>
        <w:rPr>
          <w:rFonts w:ascii="Times New Roman" w:hAnsi="Times New Roman"/>
          <w:b w:val="false"/>
          <w:i w:val="false"/>
          <w:color w:val="000000"/>
          <w:sz w:val="22"/>
        </w:rPr>
        <w:t>Dumpsters, compactors, and roll-off boxes shall not be allowed to overflow, and solid waste shall be collected as often as necessary to prevent the attraction or harborage of vectors and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106.5(4)</w:t>
      </w:r>
      <w:r>
        <w:rPr>
          <w:rFonts w:ascii="Times New Roman" w:hAnsi="Times New Roman"/>
          <w:b w:val="false"/>
          <w:i w:val="false"/>
          <w:color w:val="000000"/>
          <w:sz w:val="22"/>
        </w:rPr>
        <w:t> </w:t>
      </w:r>
      <w:r>
        <w:rPr>
          <w:rFonts w:ascii="Times New Roman" w:hAnsi="Times New Roman"/>
          <w:b w:val="false"/>
          <w:i w:val="false"/>
          <w:color w:val="000000"/>
          <w:sz w:val="22"/>
        </w:rPr>
        <w:t>Litter shall be collected as often as necessary to prevent a nuisance or public health hazard.</w:t>
      </w:r>
    </w:p>
    <w:p>
      <w:pPr>
        <w:spacing w:before="0" w:after="0"/>
        <w:ind w:left="120"/>
        <w:jc w:val="both"/>
      </w:pPr>
      <w:r>
        <w:rPr>
          <w:rFonts w:ascii="Times New Roman" w:hAnsi="Times New Roman"/>
          <w:b/>
          <w:i w:val="false"/>
          <w:color w:val="000000"/>
          <w:sz w:val="22"/>
        </w:rPr>
        <w:t>567—106.6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Citizen convenience center reporting requirements. </w:t>
      </w:r>
      <w:r>
        <w:rPr>
          <w:rFonts w:ascii="Times New Roman" w:hAnsi="Times New Roman"/>
          <w:b w:val="false"/>
          <w:i w:val="false"/>
          <w:color w:val="000000"/>
          <w:sz w:val="22"/>
        </w:rPr>
        <w:t>A citizen convenience center that directly disposes of solid waste outside Iowa shall report the following information, on a form provided by the department, to the department and local solid waste authority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106.6(1)</w:t>
      </w:r>
      <w:r>
        <w:rPr>
          <w:rFonts w:ascii="Times New Roman" w:hAnsi="Times New Roman"/>
          <w:b w:val="false"/>
          <w:i w:val="false"/>
          <w:color w:val="000000"/>
          <w:sz w:val="22"/>
        </w:rPr>
        <w:t> </w:t>
      </w:r>
      <w:r>
        <w:rPr>
          <w:rFonts w:ascii="Times New Roman" w:hAnsi="Times New Roman"/>
          <w:b w:val="false"/>
          <w:i w:val="false"/>
          <w:color w:val="000000"/>
          <w:sz w:val="22"/>
        </w:rPr>
        <w:t>Tons of solid waste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106.6(2)</w:t>
      </w:r>
      <w:r>
        <w:rPr>
          <w:rFonts w:ascii="Times New Roman" w:hAnsi="Times New Roman"/>
          <w:b w:val="false"/>
          <w:i w:val="false"/>
          <w:color w:val="000000"/>
          <w:sz w:val="22"/>
        </w:rPr>
        <w:t> </w:t>
      </w:r>
      <w:r>
        <w:rPr>
          <w:rFonts w:ascii="Times New Roman" w:hAnsi="Times New Roman"/>
          <w:b w:val="false"/>
          <w:i w:val="false"/>
          <w:color w:val="000000"/>
          <w:sz w:val="22"/>
        </w:rPr>
        <w:t>Comprehensive planning areas from which the solid waste originated, and the tons of solid waste disposed from each county and comprehensive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106.6(3)</w:t>
      </w:r>
      <w:r>
        <w:rPr>
          <w:rFonts w:ascii="Times New Roman" w:hAnsi="Times New Roman"/>
          <w:b w:val="false"/>
          <w:i w:val="false"/>
          <w:color w:val="000000"/>
          <w:sz w:val="22"/>
        </w:rPr>
        <w:t> </w:t>
      </w:r>
      <w:r>
        <w:rPr>
          <w:rFonts w:ascii="Times New Roman" w:hAnsi="Times New Roman"/>
          <w:b w:val="false"/>
          <w:i w:val="false"/>
          <w:color w:val="000000"/>
          <w:sz w:val="22"/>
        </w:rPr>
        <w:t>Destinations of all outgoing solid waste.</w:t>
      </w:r>
    </w:p>
    <w:p>
      <w:pPr>
        <w:spacing w:before="0" w:after="0"/>
        <w:ind w:left="120"/>
        <w:jc w:val="both"/>
      </w:pPr>
      <w:r>
        <w:rPr>
          <w:rFonts w:ascii="Times New Roman" w:hAnsi="Times New Roman"/>
          <w:b/>
          <w:i w:val="false"/>
          <w:color w:val="000000"/>
          <w:sz w:val="22"/>
        </w:rPr>
        <w:t>567—106.7</w:t>
      </w:r>
      <w:r>
        <w:rPr>
          <w:rFonts w:ascii="Times New Roman" w:hAnsi="Times New Roman"/>
          <w:b/>
          <w:i w:val="false"/>
          <w:color w:val="000000"/>
          <w:sz w:val="22"/>
        </w:rPr>
        <w:t xml:space="preserve">(455B) </w:t>
      </w:r>
      <w:r>
        <w:rPr>
          <w:rFonts w:ascii="Times New Roman" w:hAnsi="Times New Roman"/>
          <w:b/>
          <w:i w:val="false"/>
          <w:color w:val="000000"/>
          <w:sz w:val="22"/>
        </w:rPr>
        <w:t xml:space="preserve">Citizen convenience center closure requirements. </w:t>
      </w:r>
      <w:r>
        <w:rPr>
          <w:rFonts w:ascii="Times New Roman" w:hAnsi="Times New Roman"/>
          <w:b w:val="false"/>
          <w:i w:val="false"/>
          <w:color w:val="000000"/>
          <w:sz w:val="22"/>
        </w:rPr>
        <w:t xml:space="preserve">The facility shall submit to the local political jurisdiction, the department, and department field office with jurisdiction over the citizen convenience center written notice of intent to permanently close the facility at least 180 days before closure. Closure shall be in conformance with the closure plan pursuant to </w:t>
      </w:r>
      <w:hyperlink r:id="rId29">
        <w:r>
          <w:rPr>
            <w:rStyle w:val="Hyperlink"/>
            <w:rFonts w:ascii="Times New Roman" w:hAnsi="Times New Roman"/>
            <w:b w:val="false"/>
            <w:i w:val="false"/>
            <w:color w:val="000000"/>
            <w:sz w:val="22"/>
          </w:rPr>
          <w:t>106.4(1)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shall not be official until the department field office has given written certification of the completion of the closure plan and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106.7(1)</w:t>
      </w:r>
      <w:r>
        <w:rPr>
          <w:rFonts w:ascii="Times New Roman" w:hAnsi="Times New Roman"/>
          <w:b w:val="false"/>
          <w:i w:val="false"/>
          <w:color w:val="000000"/>
          <w:sz w:val="22"/>
        </w:rPr>
        <w:t> </w:t>
      </w:r>
      <w:r>
        <w:rPr>
          <w:rFonts w:ascii="Times New Roman" w:hAnsi="Times New Roman"/>
          <w:b w:val="false"/>
          <w:i w:val="false"/>
          <w:color w:val="000000"/>
          <w:sz w:val="22"/>
        </w:rPr>
        <w:t>Proper disposal of all solid waste and litter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106.7(2)</w:t>
      </w:r>
      <w:r>
        <w:rPr>
          <w:rFonts w:ascii="Times New Roman" w:hAnsi="Times New Roman"/>
          <w:b w:val="false"/>
          <w:i w:val="false"/>
          <w:color w:val="000000"/>
          <w:sz w:val="22"/>
        </w:rPr>
        <w:t> </w:t>
      </w:r>
      <w:r>
        <w:rPr>
          <w:rFonts w:ascii="Times New Roman" w:hAnsi="Times New Roman"/>
          <w:b w:val="false"/>
          <w:i w:val="false"/>
          <w:color w:val="000000"/>
          <w:sz w:val="22"/>
        </w:rPr>
        <w:t>Removal of all dumpsters, compactors, roll-off boxes, and other solid waste receptacles.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106.7(3)</w:t>
      </w:r>
      <w:r>
        <w:rPr>
          <w:rFonts w:ascii="Times New Roman" w:hAnsi="Times New Roman"/>
          <w:b w:val="false"/>
          <w:i w:val="false"/>
          <w:color w:val="000000"/>
          <w:sz w:val="22"/>
        </w:rPr>
        <w:t> </w:t>
      </w:r>
      <w:r>
        <w:rPr>
          <w:rFonts w:ascii="Times New Roman" w:hAnsi="Times New Roman"/>
          <w:b w:val="false"/>
          <w:i w:val="false"/>
          <w:color w:val="000000"/>
          <w:sz w:val="22"/>
        </w:rPr>
        <w:t>Reporting of the completion of these activities to the local political jurisdiction, the department, and the department field office with jurisdiction over the citizen convenience center.</w:t>
      </w:r>
    </w:p>
    <w:p>
      <w:pPr>
        <w:spacing w:before="0" w:after="0"/>
        <w:ind w:left="120"/>
        <w:jc w:val="both"/>
      </w:pPr>
      <w:r>
        <w:rPr>
          <w:rFonts w:ascii="Times New Roman" w:hAnsi="Times New Roman"/>
          <w:b/>
          <w:i w:val="false"/>
          <w:color w:val="000000"/>
          <w:sz w:val="22"/>
        </w:rPr>
        <w:t>567—106.8</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station permit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106.8(1)</w:t>
      </w:r>
      <w:r>
        <w:rPr>
          <w:rFonts w:ascii="Times New Roman" w:hAnsi="Times New Roman"/>
          <w:b w:val="false"/>
          <w:i w:val="false"/>
          <w:color w:val="000000"/>
          <w:sz w:val="22"/>
        </w:rPr>
        <w:t> </w:t>
      </w:r>
      <w:r>
        <w:rPr>
          <w:rFonts w:ascii="Times New Roman" w:hAnsi="Times New Roman"/>
          <w:b w:val="false"/>
          <w:i w:val="false"/>
          <w:color w:val="000000"/>
          <w:sz w:val="22"/>
        </w:rPr>
        <w:t>A transfer station permit applicant shall submit the following permit application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 of site where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Professional engineer (P.E.) licensed in the state of Iowa and retained for the design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to be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map or aerial photograph locating the boundaries of the site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North and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750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750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site with load limits or other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Section lines or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and legal entitlement to use the site as a transfer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Days and hours of operation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service area of the facility and political jurisdictions included 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weight of solid waste to be handled per day, week,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waste transfer and disposal process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organizational chart.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An engineering design including applicable approvals from responsible government agencies and public entities, and triplicate engineering plans and specifications completed by the engineer listed in </w:t>
      </w:r>
      <w:hyperlink r:id="rId30">
        <w:r>
          <w:rPr>
            <w:rStyle w:val="Hyperlink"/>
            <w:rFonts w:ascii="Times New Roman" w:hAnsi="Times New Roman"/>
            <w:b w:val="false"/>
            <w:i w:val="false"/>
            <w:color w:val="000000"/>
            <w:sz w:val="22"/>
          </w:rPr>
          <w:t>106.8(1)</w:t>
        </w:r>
      </w:hyperlink>
      <w:r>
        <w:rPr>
          <w:rFonts w:ascii="Times New Roman" w:hAnsi="Times New Roman"/>
          <w:b w:val="false"/>
          <w:i/>
          <w:color w:val="000000"/>
          <w:sz w:val="22"/>
        </w:rPr>
        <w:t>“a”</w:t>
      </w:r>
      <w:r>
        <w:rPr>
          <w:rFonts w:ascii="Times New Roman" w:hAnsi="Times New Roman"/>
          <w:b w:val="false"/>
          <w:i w:val="false"/>
          <w:color w:val="000000"/>
          <w:sz w:val="22"/>
        </w:rPr>
        <w:t xml:space="preserve">(4), detailing how the site will comply with rules </w:t>
      </w:r>
      <w:hyperlink r:id="rId31">
        <w:r>
          <w:rPr>
            <w:rStyle w:val="Hyperlink"/>
            <w:rFonts w:ascii="Times New Roman" w:hAnsi="Times New Roman"/>
            <w:b w:val="false"/>
            <w:i w:val="false"/>
            <w:color w:val="000000"/>
            <w:sz w:val="22"/>
          </w:rPr>
          <w:t>106.9(455B)</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106.10(455B)</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106.12</w:t>
        </w:r>
      </w:hyperlink>
      <w:r>
        <w:rPr>
          <w:rFonts w:ascii="Times New Roman" w:hAnsi="Times New Roman"/>
          <w:b w:val="false"/>
          <w:i w:val="false"/>
          <w:color w:val="000000"/>
          <w:sz w:val="22"/>
        </w:rPr>
        <w:t xml:space="preserve">(455B), and </w:t>
      </w:r>
      <w:hyperlink r:id="rId34">
        <w:r>
          <w:rPr>
            <w:rStyle w:val="Hyperlink"/>
            <w:rFonts w:ascii="Times New Roman" w:hAnsi="Times New Roman"/>
            <w:b w:val="false"/>
            <w:i w:val="false"/>
            <w:color w:val="000000"/>
            <w:sz w:val="22"/>
          </w:rPr>
          <w:t>106.15(455B)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of operations detailing how the site will comply with rules </w:t>
      </w:r>
      <w:hyperlink r:id="rId35">
        <w:r>
          <w:rPr>
            <w:rStyle w:val="Hyperlink"/>
            <w:rFonts w:ascii="Times New Roman" w:hAnsi="Times New Roman"/>
            <w:b w:val="false"/>
            <w:i w:val="false"/>
            <w:color w:val="000000"/>
            <w:sz w:val="22"/>
          </w:rPr>
          <w:t>106.11</w:t>
        </w:r>
      </w:hyperlink>
      <w:r>
        <w:rPr>
          <w:rFonts w:ascii="Times New Roman" w:hAnsi="Times New Roman"/>
          <w:b w:val="false"/>
          <w:i w:val="false"/>
          <w:color w:val="000000"/>
          <w:sz w:val="22"/>
        </w:rPr>
        <w:t xml:space="preserve">(455B) through </w:t>
      </w:r>
      <w:hyperlink r:id="rId36">
        <w:r>
          <w:rPr>
            <w:rStyle w:val="Hyperlink"/>
            <w:rFonts w:ascii="Times New Roman" w:hAnsi="Times New Roman"/>
            <w:b w:val="false"/>
            <w:i w:val="false"/>
            <w:color w:val="000000"/>
            <w:sz w:val="22"/>
          </w:rPr>
          <w:t>106.16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closure plan detailing how the site will comply with rules </w:t>
      </w:r>
      <w:hyperlink r:id="rId37">
        <w:r>
          <w:rPr>
            <w:rStyle w:val="Hyperlink"/>
            <w:rFonts w:ascii="Times New Roman" w:hAnsi="Times New Roman"/>
            <w:b w:val="false"/>
            <w:i w:val="false"/>
            <w:color w:val="000000"/>
            <w:sz w:val="22"/>
          </w:rPr>
          <w:t>106.17</w:t>
        </w:r>
      </w:hyperlink>
      <w:r>
        <w:rPr>
          <w:rFonts w:ascii="Times New Roman" w:hAnsi="Times New Roman"/>
          <w:b w:val="false"/>
          <w:i w:val="false"/>
          <w:color w:val="000000"/>
          <w:sz w:val="22"/>
        </w:rPr>
        <w:t xml:space="preserve">(455B) and </w:t>
      </w:r>
      <w:hyperlink r:id="rId38">
        <w:r>
          <w:rPr>
            <w:rStyle w:val="Hyperlink"/>
            <w:rFonts w:ascii="Times New Roman" w:hAnsi="Times New Roman"/>
            <w:b w:val="false"/>
            <w:i w:val="false"/>
            <w:color w:val="000000"/>
            <w:sz w:val="22"/>
          </w:rPr>
          <w:t>106.18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(ERRAP) pursuant to rule </w:t>
      </w:r>
      <w:hyperlink r:id="rId39">
        <w:r>
          <w:rPr>
            <w:rStyle w:val="Hyperlink"/>
            <w:rFonts w:ascii="Times New Roman" w:hAnsi="Times New Roman"/>
            <w:b w:val="false"/>
            <w:i w:val="false"/>
            <w:color w:val="000000"/>
            <w:sz w:val="22"/>
          </w:rPr>
          <w:t>106.19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106.8(2)</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the permit application information to be incomplete, it shall notify the applicant in writing of that fact and of the specific deficiencies and return the application materials to the applicant within 30 days of such notification. The applicant may reapply without prejudice.</w:t>
      </w:r>
    </w:p>
    <w:p>
      <w:pPr>
        <w:spacing w:before="0" w:after="0"/>
        <w:ind w:left="120"/>
        <w:jc w:val="both"/>
      </w:pPr>
      <w:r>
        <w:rPr>
          <w:rFonts w:ascii="Times New Roman" w:hAnsi="Times New Roman"/>
          <w:b/>
          <w:i w:val="false"/>
          <w:color w:val="000000"/>
          <w:sz w:val="22"/>
        </w:rPr>
        <w:t>567—106.9</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station siting and location requirements. </w:t>
      </w:r>
      <w:r>
        <w:rPr>
          <w:rFonts w:ascii="Times New Roman" w:hAnsi="Times New Roman"/>
          <w:b w:val="false"/>
          <w:i w:val="false"/>
          <w:color w:val="000000"/>
          <w:sz w:val="22"/>
        </w:rPr>
        <w:t>A transfer station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106.9(1)</w:t>
      </w:r>
      <w:r>
        <w:rPr>
          <w:rFonts w:ascii="Times New Roman" w:hAnsi="Times New Roman"/>
          <w:b w:val="false"/>
          <w:i w:val="false"/>
          <w:color w:val="000000"/>
          <w:sz w:val="22"/>
        </w:rPr>
        <w:t> </w:t>
      </w:r>
      <w:r>
        <w:rPr>
          <w:rFonts w:ascii="Times New Roman" w:hAnsi="Times New Roman"/>
          <w:b w:val="false"/>
          <w:i w:val="false"/>
          <w:color w:val="000000"/>
          <w:sz w:val="22"/>
        </w:rPr>
        <w:t>A transfer station shall not be located within a 100-year floodplain unless the design includes structures to prevent floodwater inundation from a 100-year flood of any area that comes into contact with solid waste or washwater.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106.9(2)</w:t>
      </w:r>
      <w:r>
        <w:rPr>
          <w:rFonts w:ascii="Times New Roman" w:hAnsi="Times New Roman"/>
          <w:b w:val="false"/>
          <w:i w:val="false"/>
          <w:color w:val="000000"/>
          <w:sz w:val="22"/>
        </w:rPr>
        <w:t> </w:t>
      </w:r>
      <w:r>
        <w:rPr>
          <w:rFonts w:ascii="Times New Roman" w:hAnsi="Times New Roman"/>
          <w:b w:val="false"/>
          <w:i w:val="false"/>
          <w:color w:val="000000"/>
          <w:sz w:val="22"/>
        </w:rPr>
        <w:t>A transfer station shall not be located within 500 feet of an educational or health care facility or permanent residence unless screening is utilized to minimize noise and visibility of operations. Such screening shall utilize natural components to the maximum extent possible. This requirement shall not apply if construction of the educational or health care facility or permanent residence began after the transfer station permit application was received by the department.</w:t>
      </w:r>
    </w:p>
    <w:p>
      <w:pPr>
        <w:spacing w:before="0" w:after="0"/>
        <w:ind w:left="120"/>
        <w:jc w:val="both"/>
      </w:pPr>
      <w:r>
        <w:rPr>
          <w:rFonts w:ascii="Times New Roman" w:hAnsi="Times New Roman"/>
          <w:b/>
          <w:i w:val="false"/>
          <w:color w:val="000000"/>
          <w:sz w:val="22"/>
        </w:rPr>
        <w:t>567—106.10</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station design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106.10(1)</w:t>
      </w:r>
      <w:r>
        <w:rPr>
          <w:rFonts w:ascii="Times New Roman" w:hAnsi="Times New Roman"/>
          <w:b w:val="false"/>
          <w:i w:val="false"/>
          <w:color w:val="000000"/>
          <w:sz w:val="22"/>
        </w:rPr>
        <w:t> </w:t>
      </w:r>
      <w:r>
        <w:rPr>
          <w:rFonts w:ascii="Times New Roman" w:hAnsi="Times New Roman"/>
          <w:b w:val="false"/>
          <w:i/>
          <w:color w:val="000000"/>
          <w:sz w:val="22"/>
        </w:rPr>
        <w:t xml:space="preserve">Transfer station building. </w:t>
      </w:r>
      <w:r>
        <w:rPr>
          <w:rFonts w:ascii="Times New Roman" w:hAnsi="Times New Roman"/>
          <w:b w:val="false"/>
          <w:i w:val="false"/>
          <w:color w:val="000000"/>
          <w:sz w:val="22"/>
        </w:rPr>
        <w:t>A transfer station shall include a building inside which all solid waste is unloaded from solid waste collection vehicles and loaded into solid waste transport vehicles. Truck-to-truck transfer of solid waste that is not incidental solid waste transfer is not allowed outside a transfer station building. A rear-loading solid waste transport vehicle that does not have any other open access and securely abuts the transfer station building so that minimal amounts of solid waste escape during loading shall qualify as being inside the building. The transfer station building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surfaces that come into contact with solid waste shall be enclosed by walls and a roof satisfactory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Minimize dust and litter exiting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Keep precipitation out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 the attraction or harboring of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surfaces that come in contact with solid waste or washwater shall be impervious to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transfer station building shall have a drainage system that maintains a separation between stormwater and washwater.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transfer station building shall have a washwater collection system that directs washwater to a storage tank for later disposal, a sanitary sewer system, or equivalent as approved by the department. Storage tanks shall have high-level indicators or gauges.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area where unloaded solid waste is stored during nonoperating hours shall be clearly marked and include a fire detection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solid waste is to be managed or stored in a surge pit, then effective odor control mechanisms such as, but not limited to, mist systems and air filters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solid waste is to be managed or stored in a surge pit, then a sprinkler system shall be installed over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area where salvaged materials are stored shall be clearly marked.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transfer station building shall have adequate indoor and outdoor lighting that minimizes the difference in lighting when entering or exiting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transfer station building shall have doors at each entrance and exit.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106.10(2)</w:t>
      </w:r>
      <w:r>
        <w:rPr>
          <w:rFonts w:ascii="Times New Roman" w:hAnsi="Times New Roman"/>
          <w:b w:val="false"/>
          <w:i w:val="false"/>
          <w:color w:val="000000"/>
          <w:sz w:val="22"/>
        </w:rPr>
        <w:t> </w:t>
      </w:r>
      <w:r>
        <w:rPr>
          <w:rFonts w:ascii="Times New Roman" w:hAnsi="Times New Roman"/>
          <w:b w:val="false"/>
          <w:i/>
          <w:color w:val="000000"/>
          <w:sz w:val="22"/>
        </w:rPr>
        <w:t xml:space="preserve">Other transfer station design requirements. </w:t>
      </w:r>
      <w:r>
        <w:rPr>
          <w:rFonts w:ascii="Times New Roman" w:hAnsi="Times New Roman"/>
          <w:b w:val="false"/>
          <w:i w:val="false"/>
          <w:color w:val="000000"/>
          <w:sz w:val="22"/>
        </w:rPr>
        <w:t>A transfer station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secure perimeter fence, with lockable 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a scale certified by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adequate queuing distance for vehicles entering and exiting the property such that lines of vehicles will not extend onto public streets during peak hours, unless approved by the appropriate local government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signs or pavement markings indicating safe and proper on-site traffic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Post a sign at the primary entrance to the facility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permit number of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that are accepted or the statement “All materials must have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Telephone number of emergency contact person(s).</w:t>
      </w:r>
    </w:p>
    <w:p>
      <w:pPr>
        <w:spacing w:before="0" w:after="0"/>
        <w:ind w:left="120"/>
        <w:jc w:val="both"/>
      </w:pPr>
      <w:r>
        <w:rPr>
          <w:rFonts w:ascii="Times New Roman" w:hAnsi="Times New Roman"/>
          <w:b/>
          <w:i w:val="false"/>
          <w:color w:val="000000"/>
          <w:sz w:val="22"/>
        </w:rPr>
        <w:t>567—106.11</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station operating requirements. </w:t>
      </w:r>
      <w:r>
        <w:rPr>
          <w:rFonts w:ascii="Times New Roman" w:hAnsi="Times New Roman"/>
          <w:b w:val="false"/>
          <w:i w:val="false"/>
          <w:color w:val="000000"/>
          <w:sz w:val="22"/>
        </w:rPr>
        <w:t>A transfer station shall perform its operations in a manner that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val="false"/>
          <w:color w:val="000000"/>
          <w:sz w:val="22"/>
        </w:rPr>
        <w:t>Site access shall be controlled and limited to a time when a transfer station operator who has met the following training requirements is on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read, understands, and is able to implement the plan of operations pursuant to </w:t>
      </w:r>
      <w:hyperlink r:id="rId40">
        <w:r>
          <w:rPr>
            <w:rStyle w:val="Hyperlink"/>
            <w:rFonts w:ascii="Times New Roman" w:hAnsi="Times New Roman"/>
            <w:b w:val="false"/>
            <w:i w:val="false"/>
            <w:color w:val="000000"/>
            <w:sz w:val="22"/>
          </w:rPr>
          <w:t>106.8(1)</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read, understands, and is able to implement the emergency response and remedial action plan pursuant to </w:t>
      </w:r>
      <w:hyperlink r:id="rId41">
        <w:r>
          <w:rPr>
            <w:rStyle w:val="Hyperlink"/>
            <w:rFonts w:ascii="Times New Roman" w:hAnsi="Times New Roman"/>
            <w:b w:val="false"/>
            <w:i w:val="false"/>
            <w:color w:val="000000"/>
            <w:sz w:val="22"/>
          </w:rPr>
          <w:t>106.8(1)</w:t>
        </w:r>
      </w:hyperlink>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able to visually recognize universal symbols and markings, and indications of unacceptable materials pursuant to </w:t>
      </w:r>
      <w:hyperlink r:id="rId42">
        <w:r>
          <w:rPr>
            <w:rStyle w:val="Hyperlink"/>
            <w:rFonts w:ascii="Times New Roman" w:hAnsi="Times New Roman"/>
            <w:b w:val="false"/>
            <w:i w:val="false"/>
            <w:color w:val="000000"/>
            <w:sz w:val="22"/>
          </w:rPr>
          <w:t>subrule 106.11(4)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certified by a training program approved by the department such as, but not limited to, the Solid Waste Association of North America’s Managing Transfer Station Systems Training and Certification Course, if the facility is permitted for 20,000 tons or more per year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106.11(2)</w:t>
      </w:r>
      <w:r>
        <w:rPr>
          <w:rFonts w:ascii="Times New Roman" w:hAnsi="Times New Roman"/>
          <w:b w:val="false"/>
          <w:i w:val="false"/>
          <w:color w:val="000000"/>
          <w:sz w:val="22"/>
        </w:rPr>
        <w:t> </w:t>
      </w:r>
      <w:r>
        <w:rPr>
          <w:rFonts w:ascii="Times New Roman" w:hAnsi="Times New Roman"/>
          <w:b w:val="false"/>
          <w:i w:val="false"/>
          <w:color w:val="000000"/>
          <w:sz w:val="22"/>
        </w:rPr>
        <w:t xml:space="preserve">Solid waste shall be accepted only from generators within the service area designated in </w:t>
      </w:r>
      <w:hyperlink r:id="rId43">
        <w:r>
          <w:rPr>
            <w:rStyle w:val="Hyperlink"/>
            <w:rFonts w:ascii="Times New Roman" w:hAnsi="Times New Roman"/>
            <w:b w:val="false"/>
            <w:i w:val="false"/>
            <w:color w:val="000000"/>
            <w:sz w:val="22"/>
          </w:rPr>
          <w:t>106.8(1)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106.11(3)</w:t>
      </w:r>
      <w:r>
        <w:rPr>
          <w:rFonts w:ascii="Times New Roman" w:hAnsi="Times New Roman"/>
          <w:b w:val="false"/>
          <w:i w:val="false"/>
          <w:color w:val="000000"/>
          <w:sz w:val="22"/>
        </w:rPr>
        <w:t> </w:t>
      </w:r>
      <w:r>
        <w:rPr>
          <w:rFonts w:ascii="Times New Roman" w:hAnsi="Times New Roman"/>
          <w:b w:val="false"/>
          <w:i w:val="false"/>
          <w:color w:val="000000"/>
          <w:sz w:val="22"/>
        </w:rPr>
        <w:t>All unloading, handling, processing, screening, open storage, loading, and similar activities or processes involving solid waste shall be performed inside the transfer station building. Truck-to-truck transfer of solid waste that is not incidental solid waste transfer is not allowed outside a transfer station building. A rear-loading solid waste transport vehicle that does not have any other open access and securely abuts the transfer station building so that minimal amounts of solid waste escape during loading shall qualify as being inside the building. Salvaged materials that do not attract or harbor vectors may be stored outside the building in clearly marked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106.11(4)</w:t>
      </w:r>
      <w:r>
        <w:rPr>
          <w:rFonts w:ascii="Times New Roman" w:hAnsi="Times New Roman"/>
          <w:b w:val="false"/>
          <w:i w:val="false"/>
          <w:color w:val="000000"/>
          <w:sz w:val="22"/>
        </w:rPr>
        <w:t> </w:t>
      </w:r>
      <w:r>
        <w:rPr>
          <w:rFonts w:ascii="Times New Roman" w:hAnsi="Times New Roman"/>
          <w:b w:val="false"/>
          <w:i w:val="false"/>
          <w:color w:val="000000"/>
          <w:sz w:val="22"/>
        </w:rPr>
        <w:t>All solid waste accepted by the transfer station shall, at a minimum, be visually inspected by personnel capable of identifying hot loads and hazardous, infectious, radioactive, and other wastes not acceptable for disposal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106.11(5)</w:t>
      </w:r>
      <w:r>
        <w:rPr>
          <w:rFonts w:ascii="Times New Roman" w:hAnsi="Times New Roman"/>
          <w:b w:val="false"/>
          <w:i w:val="false"/>
          <w:color w:val="000000"/>
          <w:sz w:val="22"/>
        </w:rPr>
        <w:t> </w:t>
      </w:r>
      <w:r>
        <w:rPr>
          <w:rFonts w:ascii="Times New Roman" w:hAnsi="Times New Roman"/>
          <w:b w:val="false"/>
          <w:i w:val="false"/>
          <w:color w:val="000000"/>
          <w:sz w:val="22"/>
        </w:rPr>
        <w:t>Transfer station operators shall segregate and manage unacceptable wastes and hot loads in accordance with applicable laws, and in a manner as safe and responsible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106.11(6)</w:t>
      </w:r>
      <w:r>
        <w:rPr>
          <w:rFonts w:ascii="Times New Roman" w:hAnsi="Times New Roman"/>
          <w:b w:val="false"/>
          <w:i w:val="false"/>
          <w:color w:val="000000"/>
          <w:sz w:val="22"/>
        </w:rPr>
        <w:t> </w:t>
      </w:r>
      <w:r>
        <w:rPr>
          <w:rFonts w:ascii="Times New Roman" w:hAnsi="Times New Roman"/>
          <w:b w:val="false"/>
          <w:i w:val="false"/>
          <w:color w:val="000000"/>
          <w:sz w:val="22"/>
        </w:rPr>
        <w:t>Transfer station operators shall be allowed to salvage materials. Scavenging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106.11(7)</w:t>
      </w:r>
      <w:r>
        <w:rPr>
          <w:rFonts w:ascii="Times New Roman" w:hAnsi="Times New Roman"/>
          <w:b w:val="false"/>
          <w:i w:val="false"/>
          <w:color w:val="000000"/>
          <w:sz w:val="22"/>
        </w:rPr>
        <w:t> </w:t>
      </w:r>
      <w:r>
        <w:rPr>
          <w:rFonts w:ascii="Times New Roman" w:hAnsi="Times New Roman"/>
          <w:b w:val="false"/>
          <w:i w:val="false"/>
          <w:color w:val="000000"/>
          <w:sz w:val="22"/>
        </w:rPr>
        <w:t>The operation of the facility shall be carried out in a manner that attempts to minimize litter, dust, odor, noise, vibration, and the attraction or harborage of vectors.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106.11(8)</w:t>
      </w:r>
      <w:r>
        <w:rPr>
          <w:rFonts w:ascii="Times New Roman" w:hAnsi="Times New Roman"/>
          <w:b w:val="false"/>
          <w:i w:val="false"/>
          <w:color w:val="000000"/>
          <w:sz w:val="22"/>
        </w:rPr>
        <w:t> </w:t>
      </w:r>
      <w:r>
        <w:rPr>
          <w:rFonts w:ascii="Times New Roman" w:hAnsi="Times New Roman"/>
          <w:b w:val="false"/>
          <w:i w:val="false"/>
          <w:color w:val="000000"/>
          <w:sz w:val="22"/>
        </w:rPr>
        <w:t>The transfer station building shall be maintained at a level of cleanliness necessary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106.11(9)</w:t>
      </w:r>
      <w:r>
        <w:rPr>
          <w:rFonts w:ascii="Times New Roman" w:hAnsi="Times New Roman"/>
          <w:b w:val="false"/>
          <w:i w:val="false"/>
          <w:color w:val="000000"/>
          <w:sz w:val="22"/>
        </w:rPr>
        <w:t> </w:t>
      </w:r>
      <w:r>
        <w:rPr>
          <w:rFonts w:ascii="Times New Roman" w:hAnsi="Times New Roman"/>
          <w:b w:val="false"/>
          <w:i w:val="false"/>
          <w:color w:val="000000"/>
          <w:sz w:val="22"/>
        </w:rPr>
        <w:t>On-site litter shall be maintained at a level of cleanliness necessary to prevent a nuisance or public health hazard. Off-site litter shall be collected daily.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106.11(10)</w:t>
      </w:r>
      <w:r>
        <w:rPr>
          <w:rFonts w:ascii="Times New Roman" w:hAnsi="Times New Roman"/>
          <w:b w:val="false"/>
          <w:i w:val="false"/>
          <w:color w:val="000000"/>
          <w:sz w:val="22"/>
        </w:rPr>
        <w:t> </w:t>
      </w:r>
      <w:r>
        <w:rPr>
          <w:rFonts w:ascii="Times New Roman" w:hAnsi="Times New Roman"/>
          <w:b w:val="false"/>
          <w:i w:val="false"/>
          <w:color w:val="000000"/>
          <w:sz w:val="22"/>
        </w:rPr>
        <w:t>The exterior of all buildings shall be maintained in a reasonable aesthetic condition, and that prevents the attraction or harborage of vectors, so as not to create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106.11(11)</w:t>
      </w:r>
      <w:r>
        <w:rPr>
          <w:rFonts w:ascii="Times New Roman" w:hAnsi="Times New Roman"/>
          <w:b w:val="false"/>
          <w:i w:val="false"/>
          <w:color w:val="000000"/>
          <w:sz w:val="22"/>
        </w:rPr>
        <w:t> </w:t>
      </w:r>
      <w:r>
        <w:rPr>
          <w:rFonts w:ascii="Times New Roman" w:hAnsi="Times New Roman"/>
          <w:b w:val="false"/>
          <w:i w:val="false"/>
          <w:color w:val="000000"/>
          <w:sz w:val="22"/>
        </w:rPr>
        <w:t>Washwater management systems shall not be allowed to overflow and shall be inspected monthly and maintained in proper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106.11(12)</w:t>
      </w:r>
      <w:r>
        <w:rPr>
          <w:rFonts w:ascii="Times New Roman" w:hAnsi="Times New Roman"/>
          <w:b w:val="false"/>
          <w:i w:val="false"/>
          <w:color w:val="000000"/>
          <w:sz w:val="22"/>
        </w:rPr>
        <w:t> </w:t>
      </w:r>
      <w:r>
        <w:rPr>
          <w:rFonts w:ascii="Times New Roman" w:hAnsi="Times New Roman"/>
          <w:b w:val="false"/>
          <w:i w:val="false"/>
          <w:color w:val="000000"/>
          <w:sz w:val="22"/>
        </w:rPr>
        <w:t>Any breach of a surface that prevents washwater from entering the ground and groundwater shall be repaired within 24 hours to make that surface impervious to liquids. If such repairs cannot be made within 24 hours, the facility shall not allow solid waste or washwater to come into contact with the breached area until repairs are complete. If the facility cannot prevent solid waste or washwater from coming into contact with the breached area, the department may require the facility to shut down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106.11(13)</w:t>
      </w:r>
      <w:r>
        <w:rPr>
          <w:rFonts w:ascii="Times New Roman" w:hAnsi="Times New Roman"/>
          <w:b w:val="false"/>
          <w:i w:val="false"/>
          <w:color w:val="000000"/>
          <w:sz w:val="22"/>
        </w:rPr>
        <w:t> </w:t>
      </w:r>
      <w:r>
        <w:rPr>
          <w:rFonts w:ascii="Times New Roman" w:hAnsi="Times New Roman"/>
          <w:b w:val="false"/>
          <w:i w:val="false"/>
          <w:color w:val="000000"/>
          <w:sz w:val="22"/>
        </w:rPr>
        <w:t>Adequate provisions shall be made for the routine operational maintenance of the facility.</w:t>
      </w:r>
    </w:p>
    <w:p>
      <w:pPr>
        <w:spacing w:before="0" w:after="0"/>
        <w:ind w:left="120"/>
        <w:jc w:val="both"/>
      </w:pPr>
      <w:r>
        <w:rPr>
          <w:rFonts w:ascii="Times New Roman" w:hAnsi="Times New Roman"/>
          <w:b/>
          <w:i w:val="false"/>
          <w:color w:val="000000"/>
          <w:sz w:val="22"/>
        </w:rPr>
        <w:t>567—106.12</w:t>
      </w:r>
      <w:r>
        <w:rPr>
          <w:rFonts w:ascii="Times New Roman" w:hAnsi="Times New Roman"/>
          <w:b/>
          <w:i w:val="false"/>
          <w:color w:val="000000"/>
          <w:sz w:val="22"/>
        </w:rPr>
        <w:t xml:space="preserve">(455B) </w:t>
      </w:r>
      <w:r>
        <w:rPr>
          <w:rFonts w:ascii="Times New Roman" w:hAnsi="Times New Roman"/>
          <w:b/>
          <w:i w:val="false"/>
          <w:color w:val="000000"/>
          <w:sz w:val="22"/>
        </w:rPr>
        <w:t xml:space="preserve">Temporary solid waste storage at transfer stations.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w:t>
      </w:r>
      <w:r>
        <w:rPr>
          <w:rFonts w:ascii="Times New Roman" w:hAnsi="Times New Roman"/>
          <w:b w:val="false"/>
          <w:i w:val="false"/>
          <w:color w:val="000000"/>
          <w:sz w:val="22"/>
        </w:rPr>
        <w:t> </w:t>
      </w:r>
      <w:r>
        <w:rPr>
          <w:rFonts w:ascii="Times New Roman" w:hAnsi="Times New Roman"/>
          <w:b w:val="false"/>
          <w:i/>
          <w:color w:val="000000"/>
          <w:sz w:val="22"/>
        </w:rPr>
        <w:t xml:space="preserve">Areas permitted for storage. </w:t>
      </w:r>
      <w:r>
        <w:rPr>
          <w:rFonts w:ascii="Times New Roman" w:hAnsi="Times New Roman"/>
          <w:b w:val="false"/>
          <w:i w:val="false"/>
          <w:color w:val="000000"/>
          <w:sz w:val="22"/>
        </w:rPr>
        <w:t>Solid waste shall be stored at the transfer station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Inside a transfer station building in a clearly marked designated area;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Inside a transfer station building in a surge pit;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Inside a secure solid waste transport vehicle, protected from precipitation and vectors.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106.12(2)</w:t>
      </w:r>
      <w:r>
        <w:rPr>
          <w:rFonts w:ascii="Times New Roman" w:hAnsi="Times New Roman"/>
          <w:b w:val="false"/>
          <w:i w:val="false"/>
          <w:color w:val="000000"/>
          <w:sz w:val="22"/>
        </w:rPr>
        <w:t> </w:t>
      </w:r>
      <w:r>
        <w:rPr>
          <w:rFonts w:ascii="Times New Roman" w:hAnsi="Times New Roman"/>
          <w:b w:val="false"/>
          <w:i/>
          <w:color w:val="000000"/>
          <w:sz w:val="22"/>
        </w:rPr>
        <w:t xml:space="preserve">Storage time requirements. </w:t>
      </w:r>
      <w:r>
        <w:rPr>
          <w:rFonts w:ascii="Times New Roman" w:hAnsi="Times New Roman"/>
          <w:b w:val="false"/>
          <w:i w:val="false"/>
          <w:color w:val="000000"/>
          <w:sz w:val="22"/>
        </w:rPr>
        <w:t>Solid waste shall be stored no longer than the following periods of time, unless shorter storage times are required by the department or local government authority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Inside a transfer station building without a surge pit or similar operational structure for not more than 48 hours, excluding Sundays and national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Inside a transfer station building in a surge pit for not more than seven days, including Sundays and national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Inside a solid waste transport vehicle designated to travel only via roadway for not more than 48 hours, excluding Sundays and national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Inside a solid waste transport vehicle designated to travel via rail or navigable waterway, including intermodal container systems, for not more than seven days, including Sundays and national holidays.</w:t>
      </w:r>
    </w:p>
    <w:p>
      <w:pPr>
        <w:spacing w:before="0" w:after="0"/>
        <w:ind w:left="120"/>
        <w:jc w:val="both"/>
      </w:pPr>
      <w:r>
        <w:rPr>
          <w:rFonts w:ascii="Times New Roman" w:hAnsi="Times New Roman"/>
          <w:b/>
          <w:i w:val="false"/>
          <w:color w:val="000000"/>
          <w:sz w:val="22"/>
        </w:rPr>
        <w:t>567—106.13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Transfer station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106.13(1)</w:t>
      </w:r>
      <w:r>
        <w:rPr>
          <w:rFonts w:ascii="Times New Roman" w:hAnsi="Times New Roman"/>
          <w:b w:val="false"/>
          <w:i w:val="false"/>
          <w:color w:val="000000"/>
          <w:sz w:val="22"/>
        </w:rPr>
        <w:t> </w:t>
      </w:r>
      <w:r>
        <w:rPr>
          <w:rFonts w:ascii="Times New Roman" w:hAnsi="Times New Roman"/>
          <w:b w:val="false"/>
          <w:i w:val="false"/>
          <w:color w:val="000000"/>
          <w:sz w:val="22"/>
        </w:rPr>
        <w:t>A transfer station shall maintain a copy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permit(s),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 of operation,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response and remedial action plan,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financial assurance, 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106.13(2)</w:t>
      </w:r>
      <w:r>
        <w:rPr>
          <w:rFonts w:ascii="Times New Roman" w:hAnsi="Times New Roman"/>
          <w:b w:val="false"/>
          <w:i w:val="false"/>
          <w:color w:val="000000"/>
          <w:sz w:val="22"/>
        </w:rPr>
        <w:t> </w:t>
      </w:r>
      <w:r>
        <w:rPr>
          <w:rFonts w:ascii="Times New Roman" w:hAnsi="Times New Roman"/>
          <w:b w:val="false"/>
          <w:i w:val="false"/>
          <w:color w:val="000000"/>
          <w:sz w:val="22"/>
        </w:rPr>
        <w:t>A transfer station shall maintain records of the following information for a period of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Tons of all solid waste disposed of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Destination of all outgoing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Washwater management system inspection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loads and hazardous, infectious, radioactive, or other unacceptable wastes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received by transfer station operator(s) pursuant to </w:t>
      </w:r>
      <w:hyperlink r:id="rId44">
        <w:r>
          <w:rPr>
            <w:rStyle w:val="Hyperlink"/>
            <w:rFonts w:ascii="Times New Roman" w:hAnsi="Times New Roman"/>
            <w:b w:val="false"/>
            <w:i w:val="false"/>
            <w:color w:val="000000"/>
            <w:sz w:val="22"/>
          </w:rPr>
          <w:t>106.11(1)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567—106.14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Transfer station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106.14(1)</w:t>
      </w:r>
      <w:r>
        <w:rPr>
          <w:rFonts w:ascii="Times New Roman" w:hAnsi="Times New Roman"/>
          <w:b w:val="false"/>
          <w:i w:val="false"/>
          <w:color w:val="000000"/>
          <w:sz w:val="22"/>
        </w:rPr>
        <w:t> </w:t>
      </w:r>
      <w:r>
        <w:rPr>
          <w:rFonts w:ascii="Times New Roman" w:hAnsi="Times New Roman"/>
          <w:b w:val="false"/>
          <w:i w:val="false"/>
          <w:color w:val="000000"/>
          <w:sz w:val="22"/>
        </w:rPr>
        <w:t>A transfer station shall report the following information, on a form provided by the department, to the department and local solid waste authority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Tons of solid waste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Comprehensive planning areas from which the solid waste originated, and the tons of solid waste disposed from each county and comprehensive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Destinations of all outgoing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106.14(2)</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station shall be inspected annually by an Iowa-licensed professional engineer (P.E.). The inspection shall, at a minimum, cover the design standards pursuant to </w:t>
      </w:r>
      <w:hyperlink r:id="rId45">
        <w:r>
          <w:rPr>
            <w:rStyle w:val="Hyperlink"/>
            <w:rFonts w:ascii="Times New Roman" w:hAnsi="Times New Roman"/>
            <w:b w:val="false"/>
            <w:i w:val="false"/>
            <w:color w:val="000000"/>
            <w:sz w:val="22"/>
          </w:rPr>
          <w:t>rule 106.10(455B)</w:t>
        </w:r>
      </w:hyperlink>
      <w:r>
        <w:rPr>
          <w:rFonts w:ascii="Times New Roman" w:hAnsi="Times New Roman"/>
          <w:b w:val="false"/>
          <w:i w:val="false"/>
          <w:color w:val="000000"/>
          <w:sz w:val="22"/>
        </w:rPr>
        <w:t>. The inspection report shall reflect the facility’s compliance with respect to the department-approved design and construction. The annual report shall be submitted to the department and department field office with jurisdiction over the facility by the first workday in November each year.</w:t>
      </w:r>
    </w:p>
    <w:p>
      <w:pPr>
        <w:spacing w:before="0" w:after="0"/>
        <w:ind w:left="120"/>
        <w:jc w:val="both"/>
      </w:pPr>
      <w:r>
        <w:rPr>
          <w:rFonts w:ascii="Times New Roman" w:hAnsi="Times New Roman"/>
          <w:b/>
          <w:i w:val="false"/>
          <w:color w:val="000000"/>
          <w:sz w:val="22"/>
        </w:rPr>
        <w:t>567—106.15</w:t>
      </w:r>
      <w:r>
        <w:rPr>
          <w:rFonts w:ascii="Times New Roman" w:hAnsi="Times New Roman"/>
          <w:b/>
          <w:i w:val="false"/>
          <w:color w:val="000000"/>
          <w:sz w:val="22"/>
        </w:rPr>
        <w:t xml:space="preserve">(455B) </w:t>
      </w:r>
      <w:r>
        <w:rPr>
          <w:rFonts w:ascii="Times New Roman" w:hAnsi="Times New Roman"/>
          <w:b/>
          <w:i w:val="false"/>
          <w:color w:val="000000"/>
          <w:sz w:val="22"/>
        </w:rPr>
        <w:t xml:space="preserve">Solid waste transport vehicle construction and maintenance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106.15(1)</w:t>
      </w:r>
      <w:r>
        <w:rPr>
          <w:rFonts w:ascii="Times New Roman" w:hAnsi="Times New Roman"/>
          <w:b w:val="false"/>
          <w:i w:val="false"/>
          <w:color w:val="000000"/>
          <w:sz w:val="22"/>
        </w:rPr>
        <w:t> </w:t>
      </w:r>
      <w:r>
        <w:rPr>
          <w:rFonts w:ascii="Times New Roman" w:hAnsi="Times New Roman"/>
          <w:b w:val="false"/>
          <w:i w:val="false"/>
          <w:color w:val="000000"/>
          <w:sz w:val="22"/>
        </w:rPr>
        <w:t>The portion of a solid waste transport vehicle that contains solid waste shall be designed to prevent the accidental discharge of its contents, the attraction or harborage of vectors, and infiltration of precipitation. This design shall include a suitable cover that is not easily torn, shredded, broken, or otherwise breached under normal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106.15(2)</w:t>
      </w:r>
      <w:r>
        <w:rPr>
          <w:rFonts w:ascii="Times New Roman" w:hAnsi="Times New Roman"/>
          <w:b w:val="false"/>
          <w:i w:val="false"/>
          <w:color w:val="000000"/>
          <w:sz w:val="22"/>
        </w:rPr>
        <w:t> </w:t>
      </w:r>
      <w:r>
        <w:rPr>
          <w:rFonts w:ascii="Times New Roman" w:hAnsi="Times New Roman"/>
          <w:b w:val="false"/>
          <w:i w:val="false"/>
          <w:color w:val="000000"/>
          <w:sz w:val="22"/>
        </w:rPr>
        <w:t>Any solid waste transport vehicle that fails to meet the requirements of this rule shall be repaired before it is utilized in the transport or storage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106.15(3)</w:t>
      </w:r>
      <w:r>
        <w:rPr>
          <w:rFonts w:ascii="Times New Roman" w:hAnsi="Times New Roman"/>
          <w:b w:val="false"/>
          <w:i w:val="false"/>
          <w:color w:val="000000"/>
          <w:sz w:val="22"/>
        </w:rPr>
        <w:t> </w:t>
      </w:r>
      <w:r>
        <w:rPr>
          <w:rFonts w:ascii="Times New Roman" w:hAnsi="Times New Roman"/>
          <w:b w:val="false"/>
          <w:i w:val="false"/>
          <w:color w:val="000000"/>
          <w:sz w:val="22"/>
        </w:rPr>
        <w:t>All solid waste transport vehicles shall be cleaned at intervals frequent enough to prevent a nuisance or vector attraction.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106.15(4)</w:t>
      </w:r>
      <w:r>
        <w:rPr>
          <w:rFonts w:ascii="Times New Roman" w:hAnsi="Times New Roman"/>
          <w:b w:val="false"/>
          <w:i w:val="false"/>
          <w:color w:val="000000"/>
          <w:sz w:val="22"/>
        </w:rPr>
        <w:t> </w:t>
      </w:r>
      <w:r>
        <w:rPr>
          <w:rFonts w:ascii="Times New Roman" w:hAnsi="Times New Roman"/>
          <w:b w:val="false"/>
          <w:i w:val="false"/>
          <w:color w:val="000000"/>
          <w:sz w:val="22"/>
        </w:rPr>
        <w:t>Wastewater generated from the cleaning of the areas of the solid waste transport vehicles that hold solid waste shall be considered washwater and shall be managed accordingly.</w:t>
      </w:r>
    </w:p>
    <w:p>
      <w:pPr>
        <w:spacing w:before="0" w:after="0"/>
        <w:ind w:left="120"/>
        <w:jc w:val="both"/>
      </w:pPr>
      <w:r>
        <w:rPr>
          <w:rFonts w:ascii="Times New Roman" w:hAnsi="Times New Roman"/>
          <w:b/>
          <w:i w:val="false"/>
          <w:color w:val="000000"/>
          <w:sz w:val="22"/>
        </w:rPr>
        <w:t>567—106.16</w:t>
      </w:r>
      <w:r>
        <w:rPr>
          <w:rFonts w:ascii="Times New Roman" w:hAnsi="Times New Roman"/>
          <w:b/>
          <w:i w:val="false"/>
          <w:color w:val="000000"/>
          <w:sz w:val="22"/>
        </w:rPr>
        <w:t xml:space="preserve">(455B) </w:t>
      </w:r>
      <w:r>
        <w:rPr>
          <w:rFonts w:ascii="Times New Roman" w:hAnsi="Times New Roman"/>
          <w:b/>
          <w:i w:val="false"/>
          <w:color w:val="000000"/>
          <w:sz w:val="22"/>
        </w:rPr>
        <w:t xml:space="preserve">Solid waste transport vehicle operation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w:t>
      </w:r>
      <w:r>
        <w:rPr>
          <w:rFonts w:ascii="Times New Roman" w:hAnsi="Times New Roman"/>
          <w:b w:val="false"/>
          <w:i w:val="false"/>
          <w:color w:val="000000"/>
          <w:sz w:val="22"/>
        </w:rPr>
        <w:t> </w:t>
      </w:r>
      <w:r>
        <w:rPr>
          <w:rFonts w:ascii="Times New Roman" w:hAnsi="Times New Roman"/>
          <w:b w:val="false"/>
          <w:i w:val="false"/>
          <w:color w:val="000000"/>
          <w:sz w:val="22"/>
        </w:rPr>
        <w:t>A solid waste transport vehicle’s openings shall be securely closed before transport and during solid waste storage so as to prevent the loss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106.16(2)</w:t>
      </w:r>
      <w:r>
        <w:rPr>
          <w:rFonts w:ascii="Times New Roman" w:hAnsi="Times New Roman"/>
          <w:b w:val="false"/>
          <w:i w:val="false"/>
          <w:color w:val="000000"/>
          <w:sz w:val="22"/>
        </w:rPr>
        <w:t> </w:t>
      </w:r>
      <w:r>
        <w:rPr>
          <w:rFonts w:ascii="Times New Roman" w:hAnsi="Times New Roman"/>
          <w:b w:val="false"/>
          <w:i w:val="false"/>
          <w:color w:val="000000"/>
          <w:sz w:val="22"/>
        </w:rPr>
        <w:t>A solid waste transport vehicle shall be loaded with solid waste inside a transfer station building and in a manner that minimizes the spilling of materials. Truck-to-truck transfer of solid waste that is not incidental solid waste transfer is not allowed outside a transfer station building. A rear-loading solid waste transport vehicle that does not have any other open access and securely abuts the transfer station building so that minimal amounts of solid waste escape during loading shall qualify as being inside the building. Solid waste spilled from a solid waste transport vehicle during loading shall be collected as often as necessary to minimize litter, dust, or other fugitive debris.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106.16(3)</w:t>
      </w:r>
      <w:r>
        <w:rPr>
          <w:rFonts w:ascii="Times New Roman" w:hAnsi="Times New Roman"/>
          <w:b w:val="false"/>
          <w:i w:val="false"/>
          <w:color w:val="000000"/>
          <w:sz w:val="22"/>
        </w:rPr>
        <w:t> </w:t>
      </w:r>
      <w:r>
        <w:rPr>
          <w:rFonts w:ascii="Times New Roman" w:hAnsi="Times New Roman"/>
          <w:b w:val="false"/>
          <w:i w:val="false"/>
          <w:color w:val="000000"/>
          <w:sz w:val="22"/>
        </w:rPr>
        <w:t>If solid waste is spilled from a solid waste transport vehicle during transport that is not on transfer station property, the spilled solid waste shall be collected as soon as possible. The transfer station shall immediately report the spill to the department and the department field office with jurisdiction over the transfer station and spill location.</w:t>
      </w:r>
    </w:p>
    <w:p>
      <w:pPr>
        <w:spacing w:before="0" w:after="0"/>
        <w:ind w:left="120"/>
        <w:jc w:val="both"/>
      </w:pPr>
      <w:r>
        <w:rPr>
          <w:rFonts w:ascii="Times New Roman" w:hAnsi="Times New Roman"/>
          <w:b/>
          <w:i w:val="false"/>
          <w:color w:val="000000"/>
          <w:sz w:val="22"/>
        </w:rPr>
        <w:t>567—106.17</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station closure requirements. </w:t>
      </w:r>
      <w:r>
        <w:rPr>
          <w:rFonts w:ascii="Times New Roman" w:hAnsi="Times New Roman"/>
          <w:b w:val="false"/>
          <w:i w:val="false"/>
          <w:color w:val="000000"/>
          <w:sz w:val="22"/>
        </w:rPr>
        <w:t xml:space="preserve">The facility shall submit to the local political jurisdiction, the department, and department field office with jurisdiction over the transfer station written notice of intent to permanently close the facility at least 180 days before closure. Closure shall be in conformance with the closure plan pursuant to </w:t>
      </w:r>
      <w:hyperlink r:id="rId46">
        <w:r>
          <w:rPr>
            <w:rStyle w:val="Hyperlink"/>
            <w:rFonts w:ascii="Times New Roman" w:hAnsi="Times New Roman"/>
            <w:b w:val="false"/>
            <w:i w:val="false"/>
            <w:color w:val="000000"/>
            <w:sz w:val="22"/>
          </w:rPr>
          <w:t>106.8(1)</w:t>
        </w:r>
      </w:hyperlink>
      <w:r>
        <w:rPr>
          <w:rFonts w:ascii="Times New Roman" w:hAnsi="Times New Roman"/>
          <w:b w:val="false"/>
          <w:i/>
          <w:color w:val="000000"/>
          <w:sz w:val="22"/>
        </w:rPr>
        <w:t>“l”</w:t>
      </w:r>
      <w:r>
        <w:rPr>
          <w:rFonts w:ascii="Times New Roman" w:hAnsi="Times New Roman"/>
          <w:b w:val="false"/>
          <w:i w:val="false"/>
          <w:color w:val="000000"/>
          <w:sz w:val="22"/>
        </w:rPr>
        <w:t xml:space="preserve"> and shall not be official until the department field office has given written certification of the completion of the closure plan and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106.17(1)</w:t>
      </w:r>
      <w:r>
        <w:rPr>
          <w:rFonts w:ascii="Times New Roman" w:hAnsi="Times New Roman"/>
          <w:b w:val="false"/>
          <w:i w:val="false"/>
          <w:color w:val="000000"/>
          <w:sz w:val="22"/>
        </w:rPr>
        <w:t> </w:t>
      </w:r>
      <w:r>
        <w:rPr>
          <w:rFonts w:ascii="Times New Roman" w:hAnsi="Times New Roman"/>
          <w:b w:val="false"/>
          <w:i w:val="false"/>
          <w:color w:val="000000"/>
          <w:sz w:val="22"/>
        </w:rPr>
        <w:t>Proper disposal of all solid waste and litter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106.17(2)</w:t>
      </w:r>
      <w:r>
        <w:rPr>
          <w:rFonts w:ascii="Times New Roman" w:hAnsi="Times New Roman"/>
          <w:b w:val="false"/>
          <w:i w:val="false"/>
          <w:color w:val="000000"/>
          <w:sz w:val="22"/>
        </w:rPr>
        <w:t> </w:t>
      </w:r>
      <w:r>
        <w:rPr>
          <w:rFonts w:ascii="Times New Roman" w:hAnsi="Times New Roman"/>
          <w:b w:val="false"/>
          <w:i w:val="false"/>
          <w:color w:val="000000"/>
          <w:sz w:val="22"/>
        </w:rPr>
        <w:t>Cleaning the transfer station building, including the rinsing of all surfaces that have come in contact with solid waste or washwater.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106.17(3)</w:t>
      </w:r>
      <w:r>
        <w:rPr>
          <w:rFonts w:ascii="Times New Roman" w:hAnsi="Times New Roman"/>
          <w:b w:val="false"/>
          <w:i w:val="false"/>
          <w:color w:val="000000"/>
          <w:sz w:val="22"/>
        </w:rPr>
        <w:t> </w:t>
      </w:r>
      <w:r>
        <w:rPr>
          <w:rFonts w:ascii="Times New Roman" w:hAnsi="Times New Roman"/>
          <w:b w:val="false"/>
          <w:i w:val="false"/>
          <w:color w:val="000000"/>
          <w:sz w:val="22"/>
        </w:rPr>
        <w:t>Cleaning of all solid waste transport vehicles that will remain on site, including the rinsing of all surfaces that have come in contact with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106.17(4)</w:t>
      </w:r>
      <w:r>
        <w:rPr>
          <w:rFonts w:ascii="Times New Roman" w:hAnsi="Times New Roman"/>
          <w:b w:val="false"/>
          <w:i w:val="false"/>
          <w:color w:val="000000"/>
          <w:sz w:val="22"/>
        </w:rPr>
        <w:t> </w:t>
      </w:r>
      <w:r>
        <w:rPr>
          <w:rFonts w:ascii="Times New Roman" w:hAnsi="Times New Roman"/>
          <w:b w:val="false"/>
          <w:i w:val="false"/>
          <w:color w:val="000000"/>
          <w:sz w:val="22"/>
        </w:rPr>
        <w:t>Removal and proper management of all washwater in the washwater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106.17(5)</w:t>
      </w:r>
      <w:r>
        <w:rPr>
          <w:rFonts w:ascii="Times New Roman" w:hAnsi="Times New Roman"/>
          <w:b w:val="false"/>
          <w:i w:val="false"/>
          <w:color w:val="000000"/>
          <w:sz w:val="22"/>
        </w:rPr>
        <w:t> </w:t>
      </w:r>
      <w:r>
        <w:rPr>
          <w:rFonts w:ascii="Times New Roman" w:hAnsi="Times New Roman"/>
          <w:b w:val="false"/>
          <w:i w:val="false"/>
          <w:color w:val="000000"/>
          <w:sz w:val="22"/>
        </w:rPr>
        <w:t>Locking all doors, gates,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106.17(6)</w:t>
      </w:r>
      <w:r>
        <w:rPr>
          <w:rFonts w:ascii="Times New Roman" w:hAnsi="Times New Roman"/>
          <w:b w:val="false"/>
          <w:i w:val="false"/>
          <w:color w:val="000000"/>
          <w:sz w:val="22"/>
        </w:rPr>
        <w:t> </w:t>
      </w:r>
      <w:r>
        <w:rPr>
          <w:rFonts w:ascii="Times New Roman" w:hAnsi="Times New Roman"/>
          <w:b w:val="false"/>
          <w:i w:val="false"/>
          <w:color w:val="000000"/>
          <w:sz w:val="22"/>
        </w:rPr>
        <w:t>Reporting of the completion of these activities to the local political jurisdiction, the department, and the department field office with jurisdiction over the transfer station.</w:t>
      </w:r>
    </w:p>
    <w:p>
      <w:pPr>
        <w:spacing w:before="0" w:after="0"/>
        <w:ind w:left="120"/>
        <w:jc w:val="both"/>
      </w:pPr>
      <w:r>
        <w:rPr>
          <w:rFonts w:ascii="Times New Roman" w:hAnsi="Times New Roman"/>
          <w:b/>
          <w:i w:val="false"/>
          <w:color w:val="000000"/>
          <w:sz w:val="22"/>
        </w:rPr>
        <w:t>567—106.18</w:t>
      </w:r>
      <w:r>
        <w:rPr>
          <w:rFonts w:ascii="Times New Roman" w:hAnsi="Times New Roman"/>
          <w:b/>
          <w:i w:val="false"/>
          <w:color w:val="000000"/>
          <w:sz w:val="22"/>
        </w:rPr>
        <w:t xml:space="preserve">(455B) </w:t>
      </w:r>
      <w:r>
        <w:rPr>
          <w:rFonts w:ascii="Times New Roman" w:hAnsi="Times New Roman"/>
          <w:b/>
          <w:i w:val="false"/>
          <w:color w:val="000000"/>
          <w:sz w:val="22"/>
        </w:rPr>
        <w:t xml:space="preserve">Citizen convenience center and transfer station financial assurance. </w:t>
      </w:r>
      <w:r>
        <w:rPr>
          <w:rFonts w:ascii="Times New Roman" w:hAnsi="Times New Roman"/>
          <w:b w:val="false"/>
          <w:i w:val="false"/>
          <w:color w:val="000000"/>
          <w:sz w:val="22"/>
        </w:rPr>
        <w:t>Permitted solid waste citizen convenience centers and transfer stations must obtain and submit a financial assurance instrument to the department for solid waste storage in accordance with this rule. The financial assurance instrument shall provide monetary funds to properly dispose of any solid waste that may remain at a facility due to the owner’s or operator’s failure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of a citizen convenience center or transfer station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106.18(2)</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to the department within 30 days of the close of the permit holder’s first fiscal year that begins after July 17, 2002, or at the time of application for a permit for a new citizen convenience center or transfer station.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106.18(3)</w:t>
      </w:r>
      <w:r>
        <w:rPr>
          <w:rFonts w:ascii="Times New Roman" w:hAnsi="Times New Roman"/>
          <w:b w:val="false"/>
          <w:i w:val="false"/>
          <w:color w:val="000000"/>
          <w:sz w:val="22"/>
        </w:rPr>
        <w:t> </w:t>
      </w:r>
      <w:r>
        <w:rPr>
          <w:rFonts w:ascii="Times New Roman" w:hAnsi="Times New Roman"/>
          <w:b w:val="false"/>
          <w:i/>
          <w:color w:val="000000"/>
          <w:sz w:val="22"/>
        </w:rPr>
        <w:t xml:space="preserve">Use of one financial assurance instrument for multiple permitted activities. </w:t>
      </w:r>
      <w:r>
        <w:rPr>
          <w:rFonts w:ascii="Times New Roman" w:hAnsi="Times New Roman"/>
          <w:b w:val="false"/>
          <w:i w:val="false"/>
          <w:color w:val="000000"/>
          <w:sz w:val="22"/>
        </w:rPr>
        <w:t xml:space="preserve">Citizen convenience centers and transfer stations required to maintain financial assurance pursuant to any other provisions of </w:t>
      </w:r>
      <w:hyperlink r:id="rId47">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to </w:t>
      </w:r>
      <w:hyperlink r:id="rId4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may satisfy the requirements of this rule by the use of one financial assurance instrument if the permit holder ensures that the instrument provides financial assurance for an amount at least equal to the current cost estimates for closure of all sanitary disposal project activities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 xml:space="preserve">The estimate submitted to the department must be certified by an Iowa-licensed professional engineer and must account for at least the following factors determined by the department to be minimal necessary costs for closure pursuant to </w:t>
      </w:r>
      <w:hyperlink r:id="rId49">
        <w:r>
          <w:rPr>
            <w:rStyle w:val="Hyperlink"/>
            <w:rFonts w:ascii="Times New Roman" w:hAnsi="Times New Roman"/>
            <w:b w:val="false"/>
            <w:i w:val="false"/>
            <w:color w:val="000000"/>
            <w:sz w:val="22"/>
          </w:rPr>
          <w:t>rule 106.7(455B)</w:t>
        </w:r>
      </w:hyperlink>
      <w:r>
        <w:rPr>
          <w:rFonts w:ascii="Times New Roman" w:hAnsi="Times New Roman"/>
          <w:b w:val="false"/>
          <w:i w:val="false"/>
          <w:color w:val="000000"/>
          <w:sz w:val="22"/>
        </w:rPr>
        <w:t xml:space="preserve"> for citizen convenience centers and </w:t>
      </w:r>
      <w:hyperlink r:id="rId50">
        <w:r>
          <w:rPr>
            <w:rStyle w:val="Hyperlink"/>
            <w:rFonts w:ascii="Times New Roman" w:hAnsi="Times New Roman"/>
            <w:b w:val="false"/>
            <w:i w:val="false"/>
            <w:color w:val="000000"/>
            <w:sz w:val="22"/>
          </w:rPr>
          <w:t>rule 106.17(455B)</w:t>
        </w:r>
      </w:hyperlink>
      <w:r>
        <w:rPr>
          <w:rFonts w:ascii="Times New Roman" w:hAnsi="Times New Roman"/>
          <w:b w:val="false"/>
          <w:i w:val="false"/>
          <w:color w:val="000000"/>
          <w:sz w:val="22"/>
        </w:rPr>
        <w:t xml:space="preserve"> for transfer stations,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labor and transportation costs and total tip fees to properly dispose of all solid waste and litter at the facility equal to twice the maximum storage capacity of the facility. If materials are temporarily stored on site in transportation vehicles or waste receptacles, then this estimate shall include disposal costs for the maximum number of transportation vehicles and waste receptacles that can be on site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hiring a third party to properly clean and decontaminate all equipment, storage facilities, holding areas and drainage collection systems. This estimate shall include the cost of properly disposing of a one-week volume of washwater from the facility. If the facility utilizes washwater storage tanks, then this estimate shall assume that the storage tanks are full and add that volume to the one-week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maintaining financial assurance pursuant to any other provisions of </w:t>
      </w:r>
      <w:hyperlink r:id="rId51">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to </w:t>
      </w:r>
      <w:hyperlink r:id="rId52">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if any, in accordance with </w:t>
      </w:r>
      <w:hyperlink r:id="rId53">
        <w:r>
          <w:rPr>
            <w:rStyle w:val="Hyperlink"/>
            <w:rFonts w:ascii="Times New Roman" w:hAnsi="Times New Roman"/>
            <w:b w:val="false"/>
            <w:i w:val="false"/>
            <w:color w:val="000000"/>
            <w:sz w:val="22"/>
          </w:rPr>
          <w:t>subrule 106.18(3)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106.18(5)</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w:t>
      </w:r>
      <w:hyperlink r:id="rId54">
        <w:r>
          <w:rPr>
            <w:rStyle w:val="Hyperlink"/>
            <w:rFonts w:ascii="Times New Roman" w:hAnsi="Times New Roman"/>
            <w:b w:val="false"/>
            <w:i w:val="false"/>
            <w:color w:val="000000"/>
            <w:sz w:val="22"/>
          </w:rPr>
          <w:t>subrule 106.18(4)</w:t>
        </w:r>
      </w:hyperlink>
      <w:r>
        <w:rPr>
          <w:rFonts w:ascii="Times New Roman" w:hAnsi="Times New Roman"/>
          <w:b w:val="false"/>
          <w:i w:val="false"/>
          <w:color w:val="000000"/>
          <w:sz w:val="22"/>
        </w:rPr>
        <w:t xml:space="preserve"> and shall not be canceled, revoked, disbursed, released, or allowed to terminate without the approval of the department. Financial assurance may be provided by cash in the form of a secured trust fund or local government dedicated fund, surety bond, letter of credit, or corporate or local government guarantee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Secured trust fund. </w:t>
      </w:r>
      <w:r>
        <w:rPr>
          <w:rFonts w:ascii="Times New Roman" w:hAnsi="Times New Roman"/>
          <w:b w:val="false"/>
          <w:i w:val="false"/>
          <w:color w:val="000000"/>
          <w:sz w:val="22"/>
        </w:rPr>
        <w:t>The owner or operator of a citizen convenience center or transfer station or entity serving as a guarantor may demonstrate financial assurance for closure by establishing a secured trust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trustee must be an entity which has the authority to act as a trustee and whose trust operations are regulated and examined by a federal or state agency. The fund shall be restricted for the sole purpose of funding closure activities at the facility, and a copy of the trust agreement must be submitted to the department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secured trust fund shall name the department of natural resources as the entity authorized to draw funds from the trust, subject to the provision of proper notification to the trust officer of failure by the permittee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assigned for the benefit of creditors with the exception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another person authorized to conduct closure activities may request reimbursement from the trustee for closure expenditures as they are incurred. Requests for reimbursement shall be granted by the trustee only if sufficient funds are remaining in the trust fund to cover the remaining costs of closure and if documentation of the justification for reimbursement has been submitted to the department for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balance of the trust fund exceeds the current cost estimate for closure at any time, the owner or operator may request withdrawal of the excess funds from the trustee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The owner or operator of a publicly owned citizen convenience center or transfer station or a local government serving as a guarantor may demonstrate financial assurance for closure by establishing a dedicated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resolution or order as a restricted fund to pay for closure costs arising from the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establishing the dedicated fund must be submitted to the department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balance of the dedicated fund exceeds the current cost estimate for closure at any time, the owner or operator may withdraw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surety bond must be written by a company authorized by the commissioner of insurance to do business in the state. The surety bond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bond shall be in a form approved by the commissioner of insurance and shall be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bond shall be specific to a particular facility for the purpose of properly disposing of any solid waste that may remain on site due to the owner’s or operator’s failure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a statement from the surety with each permit application renewal, noting that the bond is paid and current for the permit period for which the owner or operator has applied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submit to the department a copy of the letter of credit and place a copy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 and placed in the facility’s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must be issued for a period of at least one year.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90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a secured trust fund that meets the requirements of paragraph </w:t>
      </w:r>
      <w:hyperlink r:id="rId55">
        <w:r>
          <w:rPr>
            <w:rStyle w:val="Hyperlink"/>
            <w:rFonts w:ascii="Times New Roman" w:hAnsi="Times New Roman"/>
            <w:b w:val="false"/>
            <w:i w:val="false"/>
            <w:color w:val="000000"/>
            <w:sz w:val="22"/>
          </w:rPr>
          <w:t>106.18(5)</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has not complied with this subrule within the 60-day time period, the issuer of the letter of credit shall deposit a sum equal to the amount of the letter of credit into the secured trust fund established by the owner or operator.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may meet the requirements of this rule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facility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56">
        <w:r>
          <w:rPr>
            <w:rStyle w:val="Hyperlink"/>
            <w:rFonts w:ascii="Times New Roman" w:hAnsi="Times New Roman"/>
            <w:b w:val="false"/>
            <w:i w:val="false"/>
            <w:color w:val="000000"/>
            <w:sz w:val="22"/>
          </w:rPr>
          <w:t>106.18(5)</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three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ratio of less than 1.5 comparing total liabilities to net worth;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tangible net worth of the guarantor must be greater than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guarantor must have assets amounting to at least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guarantor must submit the following records to the department and place a copy in the facility’s official files: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guarantor.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guarantee including, but not limited to, cost estimates required by </w:t>
      </w:r>
      <w:hyperlink r:id="rId57">
        <w:r>
          <w:rPr>
            <w:rStyle w:val="Hyperlink"/>
            <w:rFonts w:ascii="Times New Roman" w:hAnsi="Times New Roman"/>
            <w:b w:val="false"/>
            <w:i w:val="false"/>
            <w:color w:val="000000"/>
            <w:sz w:val="22"/>
          </w:rPr>
          <w:t>subrule 106.18(4)</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guarantor meets the conditions of subparagraphs </w:t>
      </w:r>
      <w:hyperlink r:id="rId58">
        <w:r>
          <w:rPr>
            <w:rStyle w:val="Hyperlink"/>
            <w:rFonts w:ascii="Times New Roman" w:hAnsi="Times New Roman"/>
            <w:b w:val="false"/>
            <w:i w:val="false"/>
            <w:color w:val="000000"/>
            <w:sz w:val="22"/>
          </w:rPr>
          <w:t>106.18(5)</w:t>
        </w:r>
      </w:hyperlink>
      <w:r>
        <w:rPr>
          <w:rFonts w:ascii="Times New Roman" w:hAnsi="Times New Roman"/>
          <w:b w:val="false"/>
          <w:i/>
          <w:color w:val="000000"/>
          <w:sz w:val="22"/>
        </w:rPr>
        <w:t>“e”</w:t>
      </w:r>
      <w:r>
        <w:rPr>
          <w:rFonts w:ascii="Times New Roman" w:hAnsi="Times New Roman"/>
          <w:b w:val="false"/>
          <w:i w:val="false"/>
          <w:color w:val="000000"/>
          <w:sz w:val="22"/>
        </w:rPr>
        <w:t>(2), (3) and (4).</w:t>
      </w:r>
    </w:p>
    <w:p>
      <w:pPr>
        <w:spacing w:before="0" w:after="0"/>
        <w:ind w:left="120"/>
        <w:jc w:val="both"/>
      </w:pPr>
      <w:r>
        <w:rPr>
          <w:rFonts w:ascii="Times New Roman" w:hAnsi="Times New Roman"/>
          <w:b w:val="false"/>
          <w:i w:val="false"/>
          <w:color w:val="000000"/>
          <w:sz w:val="22"/>
        </w:rPr>
        <w:t>3. A copy of the independent certified public accountant’s unqualified opinion of the guarantor’s financial statements for the latest completed fiscal year. In order for the guarantor to be eligible to use the guarantee, the guarantor’s financial statements must receive an unqualified opinion from the independent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guarantee,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by obtaining a written guarantee provided by a local government or jointly provided by the members of an agency established pursuant to Iowa Code chapter </w:t>
      </w:r>
      <w:hyperlink r:id="rId5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facility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60">
        <w:r>
          <w:rPr>
            <w:rStyle w:val="Hyperlink"/>
            <w:rFonts w:ascii="Times New Roman" w:hAnsi="Times New Roman"/>
            <w:b w:val="false"/>
            <w:i w:val="false"/>
            <w:color w:val="000000"/>
            <w:sz w:val="22"/>
          </w:rPr>
          <w:t>106.18(5)</w:t>
        </w:r>
      </w:hyperlink>
      <w:r>
        <w:rPr>
          <w:rFonts w:ascii="Times New Roman" w:hAnsi="Times New Roman"/>
          <w:b w:val="false"/>
          <w:i/>
          <w:color w:val="000000"/>
          <w:sz w:val="22"/>
        </w:rPr>
        <w:t xml:space="preserve">“a” </w:t>
      </w:r>
      <w:r>
        <w:rPr>
          <w:rFonts w:ascii="Times New Roman" w:hAnsi="Times New Roman"/>
          <w:b w:val="false"/>
          <w:i w:val="false"/>
          <w:color w:val="000000"/>
          <w:sz w:val="22"/>
        </w:rPr>
        <w:t>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guarantor has outstanding, rated, general obligation bonds that are not secured by insurance, a letter of credit, or other collateral or guarantee, the guarantor must have a current rating of Aaa, Aa, A, or Baa, as issued by Moody’s, or AAA, AA, A, or BBB, as issued by Standard &amp; Poor’s, on all such general obligation bonds;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must satisfy each of the following financial ratios based on the guarantor’s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guarantor must prepare its financial statements in conformity with generally accepted accounting principles or other comprehensive basis of accounting and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guarantor is not eligible to assure its obligations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guarantor is currently in default on any outstanding general obligation bonds;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guarantor 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guarantor receives an adverse opinion or disclaimer of opinion from the independent certified public accountant or office of the auditor of the state of Iowa auditing its financial statement. A qualified opinion that is related to the demonstration of financial assurance may, at the discretion of the department, be cause for disallowance of this mechanism;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closure costs to be assured are greater than 43 percent of the guarantor’s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local government guarantor must include disclosure of the closure costs assured through the guarantee in its next annual audit report prior to the initial receipt of waste at the facility or prior to cancellation of an alternative financial assurance instrument, whichever is later. For the first year the guarantee is used to assure costs at a particular facility, the reference may instead be placed in the guarantor’s official files until issuance of the next available annual audit report if timing does not permit the reference to be incorporated into the most recently issued annual audit report or budget. For 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local government serving as guarantor for the closure costs at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copy of the guarantor’s most recent annual financial audit report indicating compliance with the financial ratios required by numbered paragraph </w:t>
      </w:r>
      <w:hyperlink r:id="rId61">
        <w:r>
          <w:rPr>
            <w:rStyle w:val="Hyperlink"/>
            <w:rFonts w:ascii="Times New Roman" w:hAnsi="Times New Roman"/>
            <w:b w:val="false"/>
            <w:i w:val="false"/>
            <w:color w:val="000000"/>
            <w:sz w:val="22"/>
          </w:rPr>
          <w:t>106.18(5)</w:t>
        </w:r>
      </w:hyperlink>
      <w:r>
        <w:rPr>
          <w:rFonts w:ascii="Times New Roman" w:hAnsi="Times New Roman"/>
          <w:b w:val="false"/>
          <w:i/>
          <w:color w:val="000000"/>
          <w:sz w:val="22"/>
        </w:rPr>
        <w:t>“f”</w:t>
      </w:r>
      <w:r>
        <w:rPr>
          <w:rFonts w:ascii="Times New Roman" w:hAnsi="Times New Roman"/>
          <w:b w:val="false"/>
          <w:i w:val="false"/>
          <w:color w:val="000000"/>
          <w:sz w:val="22"/>
        </w:rPr>
        <w:t xml:space="preserve">(2)“2,” if applicable, and the requirements of subparagraphs </w:t>
      </w:r>
      <w:hyperlink r:id="rId62">
        <w:r>
          <w:rPr>
            <w:rStyle w:val="Hyperlink"/>
            <w:rFonts w:ascii="Times New Roman" w:hAnsi="Times New Roman"/>
            <w:b w:val="false"/>
            <w:i w:val="false"/>
            <w:color w:val="000000"/>
            <w:sz w:val="22"/>
          </w:rPr>
          <w:t>106.18(5)</w:t>
        </w:r>
      </w:hyperlink>
      <w:r>
        <w:rPr>
          <w:rFonts w:ascii="Times New Roman" w:hAnsi="Times New Roman"/>
          <w:b w:val="false"/>
          <w:i/>
          <w:color w:val="000000"/>
          <w:sz w:val="22"/>
        </w:rPr>
        <w:t>“f”</w:t>
      </w:r>
      <w:r>
        <w:rPr>
          <w:rFonts w:ascii="Times New Roman" w:hAnsi="Times New Roman"/>
          <w:b w:val="false"/>
          <w:i w:val="false"/>
          <w:color w:val="000000"/>
          <w:sz w:val="22"/>
        </w:rPr>
        <w:t>(3) and (4).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letter signed by the local government’s chief financial officer that lists all the current cost estimates covered by the guarantor, as described in </w:t>
      </w:r>
      <w:hyperlink r:id="rId63">
        <w:r>
          <w:rPr>
            <w:rStyle w:val="Hyperlink"/>
            <w:rFonts w:ascii="Times New Roman" w:hAnsi="Times New Roman"/>
            <w:b w:val="false"/>
            <w:i w:val="false"/>
            <w:color w:val="000000"/>
            <w:sz w:val="22"/>
          </w:rPr>
          <w:t>subrule 106.18(4)</w:t>
        </w:r>
      </w:hyperlink>
      <w:r>
        <w:rPr>
          <w:rFonts w:ascii="Times New Roman" w:hAnsi="Times New Roman"/>
          <w:b w:val="false"/>
          <w:i w:val="false"/>
          <w:color w:val="000000"/>
          <w:sz w:val="22"/>
        </w:rPr>
        <w:t xml:space="preserve">; and that provides evidence and certifies that the local government meets the conditions of subparagraphs </w:t>
      </w:r>
      <w:hyperlink r:id="rId64">
        <w:r>
          <w:rPr>
            <w:rStyle w:val="Hyperlink"/>
            <w:rFonts w:ascii="Times New Roman" w:hAnsi="Times New Roman"/>
            <w:b w:val="false"/>
            <w:i w:val="false"/>
            <w:color w:val="000000"/>
            <w:sz w:val="22"/>
          </w:rPr>
          <w:t>106.18(5)</w:t>
        </w:r>
      </w:hyperlink>
      <w:r>
        <w:rPr>
          <w:rFonts w:ascii="Times New Roman" w:hAnsi="Times New Roman"/>
          <w:b w:val="false"/>
          <w:i/>
          <w:color w:val="000000"/>
          <w:sz w:val="22"/>
        </w:rPr>
        <w:t>“f”</w:t>
      </w:r>
      <w:r>
        <w:rPr>
          <w:rFonts w:ascii="Times New Roman" w:hAnsi="Times New Roman"/>
          <w:b w:val="false"/>
          <w:i w:val="false"/>
          <w:color w:val="000000"/>
          <w:sz w:val="22"/>
        </w:rPr>
        <w:t>(2), (3), (4) and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106.18(6)</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may be terminated by the owner or operator only if the owner or operator substitutes alternate financial assurance prior to cancellation, as specified in this rule,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operator, and financial assurance provider that the covered site has been properly closed. The financial assurance provider shall give at least 90 days’ notice in writing to the owner or operator and the department in the event of any intent to cancel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a written notice of cancellation of financial assurance by the financial assurance provider, the owner or operator must provide the department an alternative financial assurance instrument. If a means of continued financial assurance is not provided within that 60 days, the department shall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perform proper closure within 30 days of the permit suspension. For the purpose of this rule, “proper closure” means completion of all items pursuant to </w:t>
      </w:r>
      <w:hyperlink r:id="rId65">
        <w:r>
          <w:rPr>
            <w:rStyle w:val="Hyperlink"/>
            <w:rFonts w:ascii="Times New Roman" w:hAnsi="Times New Roman"/>
            <w:b w:val="false"/>
            <w:i w:val="false"/>
            <w:color w:val="000000"/>
            <w:sz w:val="22"/>
          </w:rPr>
          <w:t>rule 106.7(455B)</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106.17(455B)</w:t>
        </w:r>
      </w:hyperlink>
      <w:r>
        <w:rPr>
          <w:rFonts w:ascii="Times New Roman" w:hAnsi="Times New Roman"/>
          <w:b w:val="false"/>
          <w:i w:val="false"/>
          <w:color w:val="000000"/>
          <w:sz w:val="22"/>
        </w:rPr>
        <w:t xml:space="preserve">, as applicable, and </w:t>
      </w:r>
      <w:hyperlink r:id="rId67">
        <w:r>
          <w:rPr>
            <w:rStyle w:val="Hyperlink"/>
            <w:rFonts w:ascii="Times New Roman" w:hAnsi="Times New Roman"/>
            <w:b w:val="false"/>
            <w:i w:val="false"/>
            <w:color w:val="000000"/>
            <w:sz w:val="22"/>
          </w:rPr>
          <w:t>subrule 106.18(4)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does not properly close the site within the 30-day period allowed, the department shall file a claim with the financial assurance instrument provider to collect the amount of funds necessary to properly close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60 days from the date of termination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also request payment from any financial assurance provider for the purpose of completing closure when the following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is more than 15 days late in providing a schedule for closure or for meeting any date in the schedule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declares an economic inability to comply with this rule, either by sending written notification to the director or through an action such as, but not limited to, filing for bankruptcy.</w:t>
      </w:r>
    </w:p>
    <w:p>
      <w:pPr>
        <w:spacing w:before="0" w:after="0"/>
        <w:ind w:left="120"/>
        <w:jc w:val="both"/>
      </w:pPr>
      <w:r>
        <w:rPr>
          <w:rFonts w:ascii="Times New Roman" w:hAnsi="Times New Roman"/>
          <w:b/>
          <w:i w:val="false"/>
          <w:color w:val="000000"/>
          <w:sz w:val="22"/>
        </w:rPr>
        <w:t>567—106.19</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r>
        <w:rPr>
          <w:rFonts w:ascii="Times New Roman" w:hAnsi="Times New Roman"/>
          <w:b w:val="false"/>
          <w:i w:val="false"/>
          <w:color w:val="000000"/>
          <w:sz w:val="22"/>
        </w:rPr>
        <w:t>A citizen convenience center or transfer station shall develop, submit to the department for approval, and maintain on site a detailed emergency response and remedial action plan (ERRAP).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106.19(1)</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facilities that have been permitted prior to the effective date of these rules shall submit a complete detailed ERRAP that meets the requirements set forth in this rule no later than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a new permit after the effective date of this rule shall incorporate a complete detailed ERRAP that meets the requirements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updated ERRAP that meets the requirements of this rule shall be submitted at the time of each permit renewal or reissuance application that is due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updated ERRAP shall be included with any request for permit modification to incorporate a facility expansion or significant changes in facility operation that require modification of the currently approved ERRAP.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Three sets of ERRAP documents shall be submitted for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106.19(2)</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To facilitate department review, the rationale for exclusion of any issues that are not determined to be applicable must be provided either in the body of the plan or as a supplement. Additional ERRAP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DNR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68">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criteria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conditions—response activities—remedial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of utilities.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Short-term (48 hours or less).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Long-term (over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Weather-related events.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Tornado.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Windstorms.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Intense rainstorms and erosion.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Lightning strikes.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Flooding.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Event and postevent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Fire and explosions.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Buildings and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Utilities.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Facilities.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Working area.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Hot loads.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waste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Washwater.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stockpiles or storage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 transport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Litter and airborne particulate.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Hazardous material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Load-check control points.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Mixed waste deliveries.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Mass movement of land and waste.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Earthquakes.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Slope failure.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shifts.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and release notifications and reporting.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and city agencies.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and private facilities with special populations within five miles.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Emergency response agencies and contact information.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waste management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Temporary discontinuation of services—short- and long-term.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Facilities access and rerouting.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acceptance.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Wastes in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Primary emergency equipment inventory.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Major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Fire hydrants and water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Off-site equipment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aid.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Responder contacts.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Medical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ERRAP training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Training completion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Reference tables, figures and maps.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9">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5/24/02, Notice 3/20/02—published 6/12/02, effective 7/17/02]</w:t>
      </w:r>
    </w:p>
    <w:p>
      <w:pPr>
        <w:spacing w:before="0" w:after="0"/>
        <w:ind w:left="120"/>
        <w:jc w:val="center"/>
      </w:pPr>
      <w:r>
        <w:rPr>
          <w:rFonts w:ascii="Times New Roman" w:hAnsi="Times New Roman"/>
          <w:b w:val="false"/>
          <w:i w:val="false"/>
          <w:color w:val="000000"/>
          <w:sz w:val="21"/>
        </w:rPr>
        <w:t>[Filed 9/6/07, Notice 1/3/07—published 9/26/07, effective 10/31/07]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06.7.pdf" Type="http://schemas.openxmlformats.org/officeDocument/2006/relationships/hyperlink" Id="rId5"/>
    <Relationship TargetMode="External" Target="https://www.legis.iowa.gov/docs/iac/rule/567.106.17.pdf" Type="http://schemas.openxmlformats.org/officeDocument/2006/relationships/hyperlink" Id="rId6"/>
    <Relationship TargetMode="External" Target="https://www.legis.iowa.gov/docs/ico/chapter/455B.301.pdf" Type="http://schemas.openxmlformats.org/officeDocument/2006/relationships/hyperlink" Id="rId7"/>
    <Relationship TargetMode="External" Target="https://www.legis.iowa.gov/docs/iac/chapter/567.101.pdf"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co/chapter/455D.pdf" Type="http://schemas.openxmlformats.org/officeDocument/2006/relationships/hyperlink" Id="rId10"/>
    <Relationship TargetMode="External" Target="https://www.legis.iowa.gov/docs/ico/chapter/455B.pdf" Type="http://schemas.openxmlformats.org/officeDocument/2006/relationships/hyperlink" Id="rId11"/>
    <Relationship TargetMode="External" Target="https://www.legis.iowa.gov/docs/ico/chapter/455D.pdf" Type="http://schemas.openxmlformats.org/officeDocument/2006/relationships/hyperlink" Id="rId12"/>
    <Relationship TargetMode="External" Target="https://www.legis.iowa.gov/docs/iac/rule/567.106.3.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co/chapter/455D.pdf" Type="http://schemas.openxmlformats.org/officeDocument/2006/relationships/hyperlink" Id="rId15"/>
    <Relationship TargetMode="External" Target="https://www.legis.iowa.gov/docs/ico/chapter/455B.pdf" Type="http://schemas.openxmlformats.org/officeDocument/2006/relationships/hyperlink" Id="rId16"/>
    <Relationship TargetMode="External" Target="https://www.legis.iowa.gov/docs/ico/chapter/455D.pdf" Type="http://schemas.openxmlformats.org/officeDocument/2006/relationships/hyperlink" Id="rId17"/>
    <Relationship TargetMode="External" Target="https://www.legis.iowa.gov/docs/iac/rule/567.106.3.pdf" Type="http://schemas.openxmlformats.org/officeDocument/2006/relationships/hyperlink" Id="rId18"/>
    <Relationship TargetMode="External" Target="https://www.legis.iowa.gov/docs/iac/rule/567.106.4.pdf" Type="http://schemas.openxmlformats.org/officeDocument/2006/relationships/hyperlink" Id="rId19"/>
    <Relationship TargetMode="External" Target="https://www.legis.iowa.gov/docs/iac/rule/567.106.8.pdf" Type="http://schemas.openxmlformats.org/officeDocument/2006/relationships/hyperlink" Id="rId20"/>
    <Relationship TargetMode="External" Target="https://www.legis.iowa.gov/docs/iac/rule/567.106.3.pdf" Type="http://schemas.openxmlformats.org/officeDocument/2006/relationships/hyperlink" Id="rId21"/>
    <Relationship TargetMode="External" Target="https://www.legis.iowa.gov/docs/iac/rule/567.106.4.pdf" Type="http://schemas.openxmlformats.org/officeDocument/2006/relationships/hyperlink" Id="rId22"/>
    <Relationship TargetMode="External" Target="https://www.legis.iowa.gov/docs/iac/rule/567.106.5.pdf" Type="http://schemas.openxmlformats.org/officeDocument/2006/relationships/hyperlink" Id="rId23"/>
    <Relationship TargetMode="External" Target="https://www.legis.iowa.gov/docs/iac/rule/567.106.6.pdf" Type="http://schemas.openxmlformats.org/officeDocument/2006/relationships/hyperlink" Id="rId24"/>
    <Relationship TargetMode="External" Target="https://www.legis.iowa.gov/docs/iac/rule/567.106.7.pdf" Type="http://schemas.openxmlformats.org/officeDocument/2006/relationships/hyperlink" Id="rId25"/>
    <Relationship TargetMode="External" Target="https://www.legis.iowa.gov/docs/iac/rule/567.106.18.pdf" Type="http://schemas.openxmlformats.org/officeDocument/2006/relationships/hyperlink" Id="rId26"/>
    <Relationship TargetMode="External" Target="https://www.legis.iowa.gov/docs/iac/rule/567.106.19.pdf" Type="http://schemas.openxmlformats.org/officeDocument/2006/relationships/hyperlink" Id="rId27"/>
    <Relationship TargetMode="External" Target="https://www.legis.iowa.gov/docs/iac/rule/567.106.4.pdf" Type="http://schemas.openxmlformats.org/officeDocument/2006/relationships/hyperlink" Id="rId28"/>
    <Relationship TargetMode="External" Target="https://www.legis.iowa.gov/docs/iac/rule/567.106.4.pdf" Type="http://schemas.openxmlformats.org/officeDocument/2006/relationships/hyperlink" Id="rId29"/>
    <Relationship TargetMode="External" Target="https://www.legis.iowa.gov/docs/iac/rule/567.106.8.pdf" Type="http://schemas.openxmlformats.org/officeDocument/2006/relationships/hyperlink" Id="rId30"/>
    <Relationship TargetMode="External" Target="https://www.legis.iowa.gov/docs/iac/rule/567.106.9.pdf" Type="http://schemas.openxmlformats.org/officeDocument/2006/relationships/hyperlink" Id="rId31"/>
    <Relationship TargetMode="External" Target="https://www.legis.iowa.gov/docs/iac/rule/567.106.10.pdf" Type="http://schemas.openxmlformats.org/officeDocument/2006/relationships/hyperlink" Id="rId32"/>
    <Relationship TargetMode="External" Target="https://www.legis.iowa.gov/docs/iac/rule/567.106.12.pdf" Type="http://schemas.openxmlformats.org/officeDocument/2006/relationships/hyperlink" Id="rId33"/>
    <Relationship TargetMode="External" Target="https://www.legis.iowa.gov/docs/iac/rule/567.106.15.pdf" Type="http://schemas.openxmlformats.org/officeDocument/2006/relationships/hyperlink" Id="rId34"/>
    <Relationship TargetMode="External" Target="https://www.legis.iowa.gov/docs/iac/rule/567.106.11.pdf" Type="http://schemas.openxmlformats.org/officeDocument/2006/relationships/hyperlink" Id="rId35"/>
    <Relationship TargetMode="External" Target="https://www.legis.iowa.gov/docs/iac/rule/567.106.16.pdf" Type="http://schemas.openxmlformats.org/officeDocument/2006/relationships/hyperlink" Id="rId36"/>
    <Relationship TargetMode="External" Target="https://www.legis.iowa.gov/docs/iac/rule/567.106.17.pdf" Type="http://schemas.openxmlformats.org/officeDocument/2006/relationships/hyperlink" Id="rId37"/>
    <Relationship TargetMode="External" Target="https://www.legis.iowa.gov/docs/iac/rule/567.106.18.pdf" Type="http://schemas.openxmlformats.org/officeDocument/2006/relationships/hyperlink" Id="rId38"/>
    <Relationship TargetMode="External" Target="https://www.legis.iowa.gov/docs/iac/rule/567.106.19.pdf" Type="http://schemas.openxmlformats.org/officeDocument/2006/relationships/hyperlink" Id="rId39"/>
    <Relationship TargetMode="External" Target="https://www.legis.iowa.gov/docs/iac/rule/567.106.8.pdf" Type="http://schemas.openxmlformats.org/officeDocument/2006/relationships/hyperlink" Id="rId40"/>
    <Relationship TargetMode="External" Target="https://www.legis.iowa.gov/docs/iac/rule/567.106.8.pdf" Type="http://schemas.openxmlformats.org/officeDocument/2006/relationships/hyperlink" Id="rId41"/>
    <Relationship TargetMode="External" Target="https://www.legis.iowa.gov/docs/iac/rule/567.106.11.pdf" Type="http://schemas.openxmlformats.org/officeDocument/2006/relationships/hyperlink" Id="rId42"/>
    <Relationship TargetMode="External" Target="https://www.legis.iowa.gov/docs/iac/rule/567.106.8.pdf" Type="http://schemas.openxmlformats.org/officeDocument/2006/relationships/hyperlink" Id="rId43"/>
    <Relationship TargetMode="External" Target="https://www.legis.iowa.gov/docs/iac/rule/567.106.11.pdf" Type="http://schemas.openxmlformats.org/officeDocument/2006/relationships/hyperlink" Id="rId44"/>
    <Relationship TargetMode="External" Target="https://www.legis.iowa.gov/docs/iac/rule/567.106.10.pdf" Type="http://schemas.openxmlformats.org/officeDocument/2006/relationships/hyperlink" Id="rId45"/>
    <Relationship TargetMode="External" Target="https://www.legis.iowa.gov/docs/iac/rule/567.106.8.pdf" Type="http://schemas.openxmlformats.org/officeDocument/2006/relationships/hyperlink" Id="rId46"/>
    <Relationship TargetMode="External" Target="https://www.legis.iowa.gov/docs/iac/chapter/567.100.pdf" Type="http://schemas.openxmlformats.org/officeDocument/2006/relationships/hyperlink" Id="rId47"/>
    <Relationship TargetMode="External" Target="https://www.legis.iowa.gov/docs/iac/chapter/567.123.pdf" Type="http://schemas.openxmlformats.org/officeDocument/2006/relationships/hyperlink" Id="rId48"/>
    <Relationship TargetMode="External" Target="https://www.legis.iowa.gov/docs/iac/rule/567.106.7.pdf" Type="http://schemas.openxmlformats.org/officeDocument/2006/relationships/hyperlink" Id="rId49"/>
    <Relationship TargetMode="External" Target="https://www.legis.iowa.gov/docs/iac/rule/567.106.17.pdf" Type="http://schemas.openxmlformats.org/officeDocument/2006/relationships/hyperlink" Id="rId50"/>
    <Relationship TargetMode="External" Target="https://www.legis.iowa.gov/docs/iac/chapter/567.100.pdf" Type="http://schemas.openxmlformats.org/officeDocument/2006/relationships/hyperlink" Id="rId51"/>
    <Relationship TargetMode="External" Target="https://www.legis.iowa.gov/docs/iac/chapter/567.123.pdf" Type="http://schemas.openxmlformats.org/officeDocument/2006/relationships/hyperlink" Id="rId52"/>
    <Relationship TargetMode="External" Target="https://www.legis.iowa.gov/docs/iac/rule/567.106.18.pdf" Type="http://schemas.openxmlformats.org/officeDocument/2006/relationships/hyperlink" Id="rId53"/>
    <Relationship TargetMode="External" Target="https://www.legis.iowa.gov/docs/iac/rule/567.106.18.pdf" Type="http://schemas.openxmlformats.org/officeDocument/2006/relationships/hyperlink" Id="rId54"/>
    <Relationship TargetMode="External" Target="https://www.legis.iowa.gov/docs/iac/rule/567.106.18.pdf" Type="http://schemas.openxmlformats.org/officeDocument/2006/relationships/hyperlink" Id="rId55"/>
    <Relationship TargetMode="External" Target="https://www.legis.iowa.gov/docs/iac/rule/567.106.18.pdf" Type="http://schemas.openxmlformats.org/officeDocument/2006/relationships/hyperlink" Id="rId56"/>
    <Relationship TargetMode="External" Target="https://www.legis.iowa.gov/docs/iac/rule/567.106.18.pdf" Type="http://schemas.openxmlformats.org/officeDocument/2006/relationships/hyperlink" Id="rId57"/>
    <Relationship TargetMode="External" Target="https://www.legis.iowa.gov/docs/iac/rule/567.106.18.pdf" Type="http://schemas.openxmlformats.org/officeDocument/2006/relationships/hyperlink" Id="rId58"/>
    <Relationship TargetMode="External" Target="https://www.legis.iowa.gov/docs/ico/chapter/28E.pdf" Type="http://schemas.openxmlformats.org/officeDocument/2006/relationships/hyperlink" Id="rId59"/>
    <Relationship TargetMode="External" Target="https://www.legis.iowa.gov/docs/iac/rule/567.106.18.pdf" Type="http://schemas.openxmlformats.org/officeDocument/2006/relationships/hyperlink" Id="rId60"/>
    <Relationship TargetMode="External" Target="https://www.legis.iowa.gov/docs/iac/rule/567.106.18.pdf" Type="http://schemas.openxmlformats.org/officeDocument/2006/relationships/hyperlink" Id="rId61"/>
    <Relationship TargetMode="External" Target="https://www.legis.iowa.gov/docs/iac/rule/567.106.18.pdf" Type="http://schemas.openxmlformats.org/officeDocument/2006/relationships/hyperlink" Id="rId62"/>
    <Relationship TargetMode="External" Target="https://www.legis.iowa.gov/docs/iac/rule/567.106.18.pdf" Type="http://schemas.openxmlformats.org/officeDocument/2006/relationships/hyperlink" Id="rId63"/>
    <Relationship TargetMode="External" Target="https://www.legis.iowa.gov/docs/iac/rule/567.106.18.pdf" Type="http://schemas.openxmlformats.org/officeDocument/2006/relationships/hyperlink" Id="rId64"/>
    <Relationship TargetMode="External" Target="https://www.legis.iowa.gov/docs/iac/rule/567.106.7.pdf" Type="http://schemas.openxmlformats.org/officeDocument/2006/relationships/hyperlink" Id="rId65"/>
    <Relationship TargetMode="External" Target="https://www.legis.iowa.gov/docs/iac/rule/567.106.17.pdf" Type="http://schemas.openxmlformats.org/officeDocument/2006/relationships/hyperlink" Id="rId66"/>
    <Relationship TargetMode="External" Target="https://www.legis.iowa.gov/docs/iac/rule/567.106.18.pdf" Type="http://schemas.openxmlformats.org/officeDocument/2006/relationships/hyperlink" Id="rId67"/>
    <Relationship TargetMode="External" Target="https://www.legis.iowa.gov/docs/ico/chapter/455B.306.pdf" Type="http://schemas.openxmlformats.org/officeDocument/2006/relationships/hyperlink" Id="rId68"/>
    <Relationship TargetMode="External" Target="https://www.legis.iowa.gov/docs/ico/chapter/455B.304.pdf" Type="http://schemas.openxmlformats.org/officeDocument/2006/relationships/hyperlink" Id="rId6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