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PERMITS AND RULES OF PRACTICE</w:t>
      </w:r>
    </w:p>
    <w:p>
      <w:pPr>
        <w:spacing w:before="0" w:after="0"/>
        <w:ind w:left="120"/>
        <w:jc w:val="center"/>
      </w:pPr>
      <w:r>
        <w:rPr>
          <w:rFonts w:ascii="Times New Roman" w:hAnsi="Times New Roman"/>
          <w:b w:val="false"/>
          <w:i w:val="false"/>
          <w:color w:val="000000"/>
          <w:sz w:val="14"/>
        </w:rPr>
        <w:t>[Prior to 7/l/83, DEQ Ch 27]</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567—102.1</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required. </w:t>
      </w:r>
      <w:r>
        <w:rPr>
          <w:rFonts w:ascii="Times New Roman" w:hAnsi="Times New Roman"/>
          <w:b w:val="false"/>
          <w:i w:val="false"/>
          <w:color w:val="000000"/>
          <w:sz w:val="22"/>
        </w:rPr>
        <w:t>No public or private agency shall construct or operate a sanitary disposal project without first obtaining a permit from the director.</w:t>
      </w:r>
    </w:p>
    <w:p>
      <w:pPr>
        <w:spacing w:before="0" w:after="0"/>
        <w:ind w:left="120"/>
        <w:jc w:val="both"/>
      </w:pPr>
      <w:r>
        <w:rPr>
          <w:rFonts w:ascii="Times New Roman" w:hAnsi="Times New Roman"/>
          <w:b/>
          <w:i w:val="false"/>
          <w:color w:val="000000"/>
          <w:sz w:val="22"/>
        </w:rPr>
        <w:t>567—102.2</w:t>
      </w:r>
      <w:r>
        <w:rPr>
          <w:rFonts w:ascii="Times New Roman" w:hAnsi="Times New Roman"/>
          <w:b/>
          <w:i w:val="false"/>
          <w:color w:val="000000"/>
          <w:sz w:val="22"/>
        </w:rPr>
        <w:t xml:space="preserve">(455B) </w:t>
      </w:r>
      <w:r>
        <w:rPr>
          <w:rFonts w:ascii="Times New Roman" w:hAnsi="Times New Roman"/>
          <w:b/>
          <w:i w:val="false"/>
          <w:color w:val="000000"/>
          <w:sz w:val="22"/>
        </w:rPr>
        <w:t xml:space="preserve">Types of permits. </w:t>
      </w:r>
      <w:r>
        <w:rPr>
          <w:rFonts w:ascii="Times New Roman" w:hAnsi="Times New Roman"/>
          <w:b w:val="false"/>
          <w:i w:val="false"/>
          <w:color w:val="000000"/>
          <w:sz w:val="22"/>
        </w:rPr>
        <w:t>There are four types of permits issued by the director. These are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permit. </w:t>
      </w:r>
      <w:r>
        <w:rPr>
          <w:rFonts w:ascii="Times New Roman" w:hAnsi="Times New Roman"/>
          <w:b w:val="false"/>
          <w:i w:val="false"/>
          <w:color w:val="000000"/>
          <w:sz w:val="22"/>
        </w:rPr>
        <w:t xml:space="preserve">This permit is issued by the director under the authority of Iowa Code section </w:t>
      </w:r>
      <w:hyperlink r:id="rId5">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Such permits are issued for a term of three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to be timely filed must be received at the department’s office at least 90 days before the expiration date of the existing permit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conduct an inspection of the sanitary disposal project following receipt of the application for renewal. Following the inspection, the permit holder shall be notified of all measures needed to bring the sanitary disposal project into conformance with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required under </w:t>
      </w:r>
      <w:hyperlink r:id="rId7">
        <w:r>
          <w:rPr>
            <w:rStyle w:val="Hyperlink"/>
            <w:rFonts w:ascii="Times New Roman" w:hAnsi="Times New Roman"/>
            <w:b w:val="false"/>
            <w:i w:val="false"/>
            <w:color w:val="000000"/>
            <w:sz w:val="22"/>
          </w:rPr>
          <w:t>102.2(1)</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This permit is issued by the director under the authority of Iowa Code subsection </w:t>
      </w:r>
      <w:hyperlink r:id="rId8">
        <w:r>
          <w:rPr>
            <w:rStyle w:val="Hyperlink"/>
            <w:rFonts w:ascii="Times New Roman" w:hAnsi="Times New Roman"/>
            <w:b w:val="false"/>
            <w:i w:val="false"/>
            <w:color w:val="000000"/>
            <w:sz w:val="22"/>
          </w:rPr>
          <w:t>455B.307(1)</w:t>
        </w:r>
      </w:hyperlink>
      <w:r>
        <w:rPr>
          <w:rFonts w:ascii="Times New Roman" w:hAnsi="Times New Roman"/>
          <w:b w:val="false"/>
          <w:i w:val="false"/>
          <w:color w:val="000000"/>
          <w:sz w:val="22"/>
        </w:rPr>
        <w:t xml:space="preserve"> for solid waste disposal sites which do not comply with the requirements of Iowa Code chapter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Such permits are issued for a term of one year, and are renewable. Temporary permits may be renewed if the director finds that the public interest will be best served by granting a renewal and the terms of the previous temporary permit have been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permits shall incorporate as a condition a compliance schedule specifying how and when the applicant will meet the requirements of Iowa Code chapter </w:t>
      </w:r>
      <w:hyperlink r:id="rId1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of the director whether to issue a temporary permit, being discretionary, shall be a final decision. Once a temporary permit has been issued, it may be suspended or revoked only as provided in Iowa Code section </w:t>
      </w:r>
      <w:hyperlink r:id="rId11">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color w:val="000000"/>
          <w:sz w:val="22"/>
        </w:rPr>
        <w:t xml:space="preserve">Developmental permit. </w:t>
      </w:r>
      <w:r>
        <w:rPr>
          <w:rFonts w:ascii="Times New Roman" w:hAnsi="Times New Roman"/>
          <w:b w:val="false"/>
          <w:i w:val="false"/>
          <w:color w:val="000000"/>
          <w:sz w:val="22"/>
        </w:rPr>
        <w:t>The director may issue a developmental permit for construction and operation of a sanitary disposal project which is not specifically described in these rules if the permit applicant demonstrates at a public hearing that the proposed project can provide satisfactory disposal of solid waste without adverse health-related or environmental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such permit shall be issued until the director, after public hearing, considers and approves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Developmental permits shall be issued for a term no less than one year and no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Developmental permits may be renewed if the director finds, following public hearing, that the sanitary disposal project provided satisfactory disposal of solid waste without adverse health-related or environmental effects over the term of the prior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w:t>
      </w:r>
      <w:r>
        <w:rPr>
          <w:rFonts w:ascii="Times New Roman" w:hAnsi="Times New Roman"/>
          <w:b w:val="false"/>
          <w:i w:val="false"/>
          <w:color w:val="000000"/>
          <w:sz w:val="22"/>
        </w:rPr>
        <w:t> </w:t>
      </w:r>
      <w:r>
        <w:rPr>
          <w:rFonts w:ascii="Times New Roman" w:hAnsi="Times New Roman"/>
          <w:b w:val="false"/>
          <w:i/>
          <w:color w:val="000000"/>
          <w:sz w:val="22"/>
        </w:rPr>
        <w:t xml:space="preserve">Closure permit. </w:t>
      </w:r>
      <w:r>
        <w:rPr>
          <w:rFonts w:ascii="Times New Roman" w:hAnsi="Times New Roman"/>
          <w:b w:val="false"/>
          <w:i w:val="false"/>
          <w:color w:val="000000"/>
          <w:sz w:val="22"/>
        </w:rPr>
        <w:t xml:space="preserve">This permit is issued by the director under the authority of Iowa Code section </w:t>
      </w:r>
      <w:hyperlink r:id="rId13">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which no longer accept solid waste. Such permits are issued for a term of 30 years. The term of subsequent renewal of the permit, if the postclosure period is extended, will be determined on a site-specific basis. A sanitary disposal project shall require a closure permit until the department determines that postclosure maintenance, postclosure monitoring, and operation of required leachate control system are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filed at the time of departmental notification of intended closure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issuance of this permit shall be based on a previously approved comprehensive plan and other rules adopted pursuant to the authority of Iowa Code section </w:t>
      </w:r>
      <w:hyperlink r:id="rId14">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permit shall require submission of an annual audit report detailing the status of the financial instrument and other funds as required to guarantee completion of postclosure and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permit may be modified by the issuance of an amendment by the department. Requests for permit amendments may be initiated by the department or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applicable postclosure period, and upon satisfactory completion of all required postclosure activities as established by Iowa Code chapter </w:t>
      </w:r>
      <w:hyperlink r:id="rId1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written notification shall be issued by the director stating that a permit is no longer required for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567—102.3</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Applications for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permits and renewals. </w:t>
      </w:r>
      <w:r>
        <w:rPr>
          <w:rFonts w:ascii="Times New Roman" w:hAnsi="Times New Roman"/>
          <w:b w:val="false"/>
          <w:i w:val="false"/>
          <w:color w:val="000000"/>
          <w:sz w:val="22"/>
        </w:rPr>
        <w:t xml:space="preserve">More information can be found in </w:t>
      </w:r>
      <w:hyperlink r:id="rId17">
        <w:r>
          <w:rPr>
            <w:rStyle w:val="Hyperlink"/>
            <w:rFonts w:ascii="Times New Roman" w:hAnsi="Times New Roman"/>
            <w:b w:val="false"/>
            <w:i w:val="false"/>
            <w:color w:val="000000"/>
            <w:sz w:val="22"/>
          </w:rPr>
          <w:t>subrule 102.2(1)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Time limit on submittal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permit applications. </w:t>
      </w:r>
      <w:r>
        <w:rPr>
          <w:rFonts w:ascii="Times New Roman" w:hAnsi="Times New Roman"/>
          <w:b w:val="false"/>
          <w:i w:val="false"/>
          <w:color w:val="000000"/>
          <w:sz w:val="22"/>
        </w:rPr>
        <w:t>If an application for a sanitary disposal project permit is found to be incomplete by the department, the applicant will be notified of that fact and of the specific deficiencies. Thirty days following such notification, the application may be returned by the department as incomplete without prejudice to the applicant’s right to reapply. The applicant may be granted, upon request, an additional 30 days to complete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renewal or amendment of a sanitary disposal project. </w:t>
      </w:r>
      <w:r>
        <w:rPr>
          <w:rFonts w:ascii="Times New Roman" w:hAnsi="Times New Roman"/>
          <w:b w:val="false"/>
          <w:i w:val="false"/>
          <w:color w:val="000000"/>
          <w:sz w:val="22"/>
        </w:rPr>
        <w:t>If an application for a sanitary disposal project permit renewal or amendment is found to be incomplete by the department, the applicant will be notified of that fact and of the specific deficiencies. Thirty days following such notification, the application may be denied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567—102.4</w:t>
      </w:r>
      <w:r>
        <w:rPr>
          <w:rFonts w:ascii="Times New Roman" w:hAnsi="Times New Roman"/>
          <w:b/>
          <w:i w:val="false"/>
          <w:color w:val="000000"/>
          <w:sz w:val="22"/>
        </w:rPr>
        <w:t xml:space="preserve">(455B) </w:t>
      </w:r>
      <w:r>
        <w:rPr>
          <w:rFonts w:ascii="Times New Roman" w:hAnsi="Times New Roman"/>
          <w:b/>
          <w:i w:val="false"/>
          <w:color w:val="000000"/>
          <w:sz w:val="22"/>
        </w:rPr>
        <w:t xml:space="preserve">Preparation of plans. </w:t>
      </w:r>
      <w:r>
        <w:rPr>
          <w:rFonts w:ascii="Times New Roman" w:hAnsi="Times New Roman"/>
          <w:b w:val="false"/>
          <w:i w:val="false"/>
          <w:color w:val="000000"/>
          <w:sz w:val="22"/>
        </w:rPr>
        <w:t xml:space="preserve">All plans and specifications submitted in the application for a sanitary disposal project permit or a developmental permit shall be prepared in conformance with Iowa Code chapter </w:t>
      </w:r>
      <w:hyperlink r:id="rId19">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xml:space="preserve"> and shall be submitted in triplicate.</w:t>
      </w:r>
    </w:p>
    <w:p>
      <w:pPr>
        <w:spacing w:before="210" w:after="0"/>
        <w:ind w:left="120"/>
        <w:jc w:val="both"/>
      </w:pPr>
      <w:r>
        <w:rPr>
          <w:rFonts w:ascii="Times New Roman" w:hAnsi="Times New Roman"/>
          <w:b/>
          <w:i w:val="false"/>
          <w:color w:val="000000"/>
          <w:sz w:val="22"/>
        </w:rPr>
        <w:t>567—102.5</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and operation. </w:t>
      </w:r>
      <w:r>
        <w:rPr>
          <w:rFonts w:ascii="Times New Roman" w:hAnsi="Times New Roman"/>
          <w:b w:val="false"/>
          <w:i w:val="false"/>
          <w:color w:val="000000"/>
          <w:sz w:val="22"/>
        </w:rPr>
        <w:t>All sanitary disposal projects shall be constructed and operated according to the plans and specifications as approved by the department and the terms of the permit. The approved plans and specifications shall constitute a term of the permit.</w:t>
      </w:r>
    </w:p>
    <w:p>
      <w:pPr>
        <w:spacing w:before="0" w:after="0"/>
        <w:ind w:left="120"/>
        <w:jc w:val="both"/>
      </w:pPr>
      <w:r>
        <w:rPr>
          <w:rFonts w:ascii="Times New Roman" w:hAnsi="Times New Roman"/>
          <w:b/>
          <w:i w:val="false"/>
          <w:color w:val="000000"/>
          <w:sz w:val="22"/>
        </w:rPr>
        <w:t>567—102.6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with rule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Sanitary disposal projects designed and constructed in accordance with rules in effect at the time of construction shall not be required to be redesigned or reconstructed due to subsequent rule changes unless the department finds that such facilities are causing pollution. Such facilities shall be brought into compliance with rules in effect at the time of reconstruction, enlarging, or otherwise modifying the sanitary disposal project, or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If any new rule conflicts with an operating procedure prescribed in the engineering plans or the permit of a sanitary disposal project, the operation shall conform with the new rule.</w:t>
      </w:r>
    </w:p>
    <w:p>
      <w:pPr>
        <w:spacing w:before="210" w:after="0"/>
        <w:ind w:left="120"/>
        <w:jc w:val="both"/>
      </w:pPr>
      <w:r>
        <w:rPr>
          <w:rFonts w:ascii="Times New Roman" w:hAnsi="Times New Roman"/>
          <w:b/>
          <w:i w:val="false"/>
          <w:color w:val="000000"/>
          <w:sz w:val="22"/>
        </w:rPr>
        <w:t>567—102.7</w:t>
      </w:r>
      <w:r>
        <w:rPr>
          <w:rFonts w:ascii="Times New Roman" w:hAnsi="Times New Roman"/>
          <w:b/>
          <w:i w:val="false"/>
          <w:color w:val="000000"/>
          <w:sz w:val="22"/>
        </w:rPr>
        <w:t xml:space="preserve">(455B) </w:t>
      </w:r>
      <w:r>
        <w:rPr>
          <w:rFonts w:ascii="Times New Roman" w:hAnsi="Times New Roman"/>
          <w:b/>
          <w:i w:val="false"/>
          <w:color w:val="000000"/>
          <w:sz w:val="22"/>
        </w:rPr>
        <w:t xml:space="preserve">Amendments. </w:t>
      </w:r>
      <w:r>
        <w:rPr>
          <w:rFonts w:ascii="Times New Roman" w:hAnsi="Times New Roman"/>
          <w:b w:val="false"/>
          <w:i w:val="false"/>
          <w:color w:val="000000"/>
          <w:sz w:val="22"/>
        </w:rPr>
        <w:t xml:space="preserve">Sanitary disposal project permits, temporary permits, and developmental permits may be modified by the issuance of an amendment by the department, except as provided in </w:t>
      </w:r>
      <w:hyperlink r:id="rId20">
        <w:r>
          <w:rPr>
            <w:rStyle w:val="Hyperlink"/>
            <w:rFonts w:ascii="Times New Roman" w:hAnsi="Times New Roman"/>
            <w:b w:val="false"/>
            <w:i w:val="false"/>
            <w:color w:val="000000"/>
            <w:sz w:val="22"/>
          </w:rPr>
          <w:t>102.6(1)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567—102.8</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and permit. </w:t>
      </w:r>
      <w:r>
        <w:rPr>
          <w:rFonts w:ascii="Times New Roman" w:hAnsi="Times New Roman"/>
          <w:b w:val="false"/>
          <w:i w:val="false"/>
          <w:color w:val="000000"/>
          <w:sz w:val="22"/>
        </w:rPr>
        <w:t>If title to an operational sanitary disposal project is transferred, and the transferee desires to continue operation of the project, the transferee shall apply in writing to the department within 30 days of the transfer for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transfer the permit when it determines that the sanitary disposal project is in compliance with Iowa Code chapter </w:t>
      </w:r>
      <w:hyperlink r:id="rId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 and that the transferee possesses the equipment and personnel to operate the project in conformance with chapter </w:t>
      </w:r>
      <w:hyperlink r:id="rId2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val="false"/>
          <w:color w:val="000000"/>
          <w:sz w:val="22"/>
        </w:rPr>
        <w:t>No permit is valid after 60 days following transfer of title, unless the permit has been transferred by the department to the new titleholder pursuant to this rule.</w:t>
      </w:r>
    </w:p>
    <w:p>
      <w:pPr>
        <w:spacing w:before="210" w:after="0"/>
        <w:ind w:left="120"/>
        <w:jc w:val="both"/>
      </w:pPr>
      <w:r>
        <w:rPr>
          <w:rFonts w:ascii="Times New Roman" w:hAnsi="Times New Roman"/>
          <w:b/>
          <w:i w:val="false"/>
          <w:color w:val="000000"/>
          <w:sz w:val="22"/>
        </w:rPr>
        <w:t>567—102.9</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Any permit may be issued subject to conditions specified in writing which are necessary to ensure the sanitary disposal project can be constructed and operated in compliance with these rules.</w:t>
      </w:r>
    </w:p>
    <w:p>
      <w:pPr>
        <w:spacing w:before="0" w:after="0"/>
        <w:ind w:left="120"/>
        <w:jc w:val="both"/>
      </w:pPr>
      <w:r>
        <w:rPr>
          <w:rFonts w:ascii="Times New Roman" w:hAnsi="Times New Roman"/>
          <w:b/>
          <w:i w:val="false"/>
          <w:color w:val="000000"/>
          <w:sz w:val="22"/>
        </w:rPr>
        <w:t>567—102.10</w:t>
      </w:r>
      <w:r>
        <w:rPr>
          <w:rFonts w:ascii="Times New Roman" w:hAnsi="Times New Roman"/>
          <w:b/>
          <w:i w:val="false"/>
          <w:color w:val="000000"/>
          <w:sz w:val="22"/>
        </w:rPr>
        <w:t xml:space="preserve">(455B) </w:t>
      </w:r>
      <w:r>
        <w:rPr>
          <w:rFonts w:ascii="Times New Roman" w:hAnsi="Times New Roman"/>
          <w:b/>
          <w:i w:val="false"/>
          <w:color w:val="000000"/>
          <w:sz w:val="22"/>
        </w:rPr>
        <w:t xml:space="preserve">Effect of revocation. </w:t>
      </w:r>
      <w:r>
        <w:rPr>
          <w:rFonts w:ascii="Times New Roman" w:hAnsi="Times New Roman"/>
          <w:b w:val="false"/>
          <w:i w:val="false"/>
          <w:color w:val="000000"/>
          <w:sz w:val="22"/>
        </w:rPr>
        <w:t>If a permit held by any public or private agency for a sanitary disposal project is revoked by the director, no new permit shall be issued to that agency for that disposal project for a period of one year from the date of revocation. This shall not prohibit the issuance of a permit for the disposal project to another public or private agency.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567—102.11</w:t>
      </w:r>
      <w:r>
        <w:rPr>
          <w:rFonts w:ascii="Times New Roman" w:hAnsi="Times New Roman"/>
          <w:b/>
          <w:i w:val="false"/>
          <w:color w:val="000000"/>
          <w:sz w:val="22"/>
        </w:rPr>
        <w:t xml:space="preserve">(455B) </w:t>
      </w:r>
      <w:r>
        <w:rPr>
          <w:rFonts w:ascii="Times New Roman" w:hAnsi="Times New Roman"/>
          <w:b/>
          <w:i w:val="false"/>
          <w:color w:val="000000"/>
          <w:sz w:val="22"/>
        </w:rPr>
        <w:t xml:space="preserve">Inspection prior to start-up. </w:t>
      </w:r>
      <w:r>
        <w:rPr>
          <w:rFonts w:ascii="Times New Roman" w:hAnsi="Times New Roman"/>
          <w:b w:val="false"/>
          <w:i w:val="false"/>
          <w:color w:val="000000"/>
          <w:sz w:val="22"/>
        </w:rPr>
        <w:t>The department shall be notified when the initial construction of a sanitary disposal project has been completed, in order that an inspection may be made to determine that the project is constructed as designed. No solid waste shall be accepted by a sanitary disposal project until that project has been inspected and approved by the department.</w:t>
      </w:r>
    </w:p>
    <w:p>
      <w:pPr>
        <w:spacing w:before="0" w:after="0"/>
        <w:ind w:left="120"/>
        <w:jc w:val="both"/>
      </w:pPr>
      <w:r>
        <w:rPr>
          <w:rFonts w:ascii="Times New Roman" w:hAnsi="Times New Roman"/>
          <w:b/>
          <w:i w:val="false"/>
          <w:color w:val="000000"/>
          <w:sz w:val="22"/>
        </w:rPr>
        <w:t>567—102.12</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plan requirements for all sanitary disposal projects. </w:t>
      </w:r>
      <w:r>
        <w:rPr>
          <w:rFonts w:ascii="Times New Roman" w:hAnsi="Times New Roman"/>
          <w:b w:val="false"/>
          <w:i w:val="false"/>
          <w:color w:val="000000"/>
          <w:sz w:val="22"/>
        </w:rPr>
        <w:t>Every application for any permit issued by the department shall include the following. In addition, every application shall include the particular information required by the chapter describing the type of project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site where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North or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nearby runway used or planned to be used by turbojet or piston-type aircraft at FAA certificated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102.12(4)</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waste to be handled per day, week 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102.12(5)</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102.12(6)</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disposal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102.12(7)</w:t>
      </w:r>
      <w:r>
        <w:rPr>
          <w:rFonts w:ascii="Times New Roman" w:hAnsi="Times New Roman"/>
          <w:b w:val="false"/>
          <w:i w:val="false"/>
          <w:color w:val="000000"/>
          <w:sz w:val="22"/>
        </w:rPr>
        <w:t> </w:t>
      </w:r>
      <w:r>
        <w:rPr>
          <w:rFonts w:ascii="Times New Roman" w:hAnsi="Times New Roman"/>
          <w:b w:val="false"/>
          <w:i w:val="false"/>
          <w:color w:val="000000"/>
          <w:sz w:val="22"/>
        </w:rPr>
        <w:t>A table listing the equipment to be used, its design capacities and expected loads.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102.12(8)</w:t>
      </w:r>
      <w:r>
        <w:rPr>
          <w:rFonts w:ascii="Times New Roman" w:hAnsi="Times New Roman"/>
          <w:b w:val="false"/>
          <w:i w:val="false"/>
          <w:color w:val="000000"/>
          <w:sz w:val="22"/>
        </w:rPr>
        <w:t> </w:t>
      </w:r>
      <w:r>
        <w:rPr>
          <w:rFonts w:ascii="Times New Roman" w:hAnsi="Times New Roman"/>
          <w:b w:val="false"/>
          <w:i w:val="false"/>
          <w:color w:val="000000"/>
          <w:sz w:val="22"/>
        </w:rPr>
        <w:t>A contingency plan detailing specific procedures to be followed in case of equipment breakdown, maintenance downtime, or fire in equipment or vehicles, including methods to be used to remove or dispose of accumulated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102.12(9)</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disposal of solid waste for the term of the permit for which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102.12(10)</w:t>
      </w:r>
      <w:r>
        <w:rPr>
          <w:rFonts w:ascii="Times New Roman" w:hAnsi="Times New Roman"/>
          <w:b w:val="false"/>
          <w:i w:val="false"/>
          <w:color w:val="000000"/>
          <w:sz w:val="22"/>
        </w:rPr>
        <w:t> </w:t>
      </w:r>
      <w:r>
        <w:rPr>
          <w:rFonts w:ascii="Times New Roman" w:hAnsi="Times New Roman"/>
          <w:b w:val="false"/>
          <w:i w:val="false"/>
          <w:color w:val="000000"/>
          <w:sz w:val="22"/>
        </w:rPr>
        <w:t>Closure/postclosure plan. A closure/postclosure plan shall be submitted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Details how and when the facility will be closed in accordance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Describes the proposed groundwater monitoring plan, leachate control system, and site inspection and maintenance activities necessary to comply with </w:t>
      </w:r>
      <w:hyperlink r:id="rId24">
        <w:r>
          <w:rPr>
            <w:rStyle w:val="Hyperlink"/>
            <w:rFonts w:ascii="Times New Roman" w:hAnsi="Times New Roman"/>
            <w:b w:val="false"/>
            <w:i w:val="false"/>
            <w:color w:val="000000"/>
            <w:sz w:val="22"/>
          </w:rPr>
          <w:t>567—Chapter 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States the name, address and telephone number of the person or office to serve as a contact with regard to the facility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closure/postclosure plan shall be submitted at the time of the first permit renewal after enactment of this rule, but not less than 180 days prior to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102.12(11)</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567—102.13</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for all sanitary disposal projects. </w:t>
      </w:r>
      <w:r>
        <w:rPr>
          <w:rFonts w:ascii="Times New Roman" w:hAnsi="Times New Roman"/>
          <w:b w:val="false"/>
          <w:i w:val="false"/>
          <w:color w:val="000000"/>
          <w:sz w:val="22"/>
        </w:rPr>
        <w:t>Every application for any permit issued by the department shall detail the means by which the following operating requirements shall be complied with. All sanitary disposal projects shall be operated in conformance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burning shall be prohibited except when permitted by </w:t>
      </w:r>
      <w:hyperlink r:id="rId26">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Any burning to be conducted at the site shall be at a location and separate and distinct from the operating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Litter shall be confined to the property on which the sanitary disposal project is located. At the conclusion of each day of operation, any litter strewn beyond the confines of the operating area shall be collected and stored in covered leakproof containers or properly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102.13(3)</w:t>
      </w:r>
      <w:r>
        <w:rPr>
          <w:rFonts w:ascii="Times New Roman" w:hAnsi="Times New Roman"/>
          <w:b w:val="false"/>
          <w:i w:val="false"/>
          <w:color w:val="000000"/>
          <w:sz w:val="22"/>
        </w:rPr>
        <w:t> </w:t>
      </w:r>
      <w:r>
        <w:rPr>
          <w:rFonts w:ascii="Times New Roman" w:hAnsi="Times New Roman"/>
          <w:b w:val="false"/>
          <w:i w:val="false"/>
          <w:color w:val="000000"/>
          <w:sz w:val="22"/>
        </w:rPr>
        <w:t>Scavenging shall be prohibited. Any salvaging to be conducted must be described in the permit application and all salvaged materials must be stored and removed from the sanitary disposal project site in conformance with the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102.13(4)</w:t>
      </w:r>
      <w:r>
        <w:rPr>
          <w:rFonts w:ascii="Times New Roman" w:hAnsi="Times New Roman"/>
          <w:b w:val="false"/>
          <w:i w:val="false"/>
          <w:color w:val="000000"/>
          <w:sz w:val="22"/>
        </w:rPr>
        <w:t> </w:t>
      </w:r>
      <w:r>
        <w:rPr>
          <w:rFonts w:ascii="Times New Roman" w:hAnsi="Times New Roman"/>
          <w:b w:val="false"/>
          <w:i w:val="false"/>
          <w:color w:val="000000"/>
          <w:sz w:val="22"/>
        </w:rPr>
        <w:t>Effective means shall be taken to control flies, other insects, rodents and other vermin.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102.13(5)</w:t>
      </w:r>
      <w:r>
        <w:rPr>
          <w:rFonts w:ascii="Times New Roman" w:hAnsi="Times New Roman"/>
          <w:b w:val="false"/>
          <w:i w:val="false"/>
          <w:color w:val="000000"/>
          <w:sz w:val="22"/>
        </w:rPr>
        <w:t> </w:t>
      </w:r>
      <w:r>
        <w:rPr>
          <w:rFonts w:ascii="Times New Roman" w:hAnsi="Times New Roman"/>
          <w:b w:val="false"/>
          <w:i w:val="false"/>
          <w:color w:val="000000"/>
          <w:sz w:val="22"/>
        </w:rPr>
        <w:t>Equipment designated in the plans and specifications or equivalent equipment shall be used to operate the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102.13(6)</w:t>
      </w:r>
      <w:r>
        <w:rPr>
          <w:rFonts w:ascii="Times New Roman" w:hAnsi="Times New Roman"/>
          <w:b w:val="false"/>
          <w:i w:val="false"/>
          <w:color w:val="000000"/>
          <w:sz w:val="22"/>
        </w:rPr>
        <w:t> </w:t>
      </w:r>
      <w:r>
        <w:rPr>
          <w:rFonts w:ascii="Times New Roman" w:hAnsi="Times New Roman"/>
          <w:b w:val="false"/>
          <w:i w:val="false"/>
          <w:color w:val="000000"/>
          <w:sz w:val="22"/>
        </w:rPr>
        <w:t>The major internal roads shall be of all weather construction and maintained in good condition. Dust shall be controlled on internal 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102.13(7)</w:t>
      </w:r>
      <w:r>
        <w:rPr>
          <w:rFonts w:ascii="Times New Roman" w:hAnsi="Times New Roman"/>
          <w:b w:val="false"/>
          <w:i w:val="false"/>
          <w:color w:val="000000"/>
          <w:sz w:val="22"/>
        </w:rPr>
        <w:t> </w:t>
      </w:r>
      <w:r>
        <w:rPr>
          <w:rFonts w:ascii="Times New Roman" w:hAnsi="Times New Roman"/>
          <w:b w:val="false"/>
          <w:i w:val="false"/>
          <w:color w:val="000000"/>
          <w:sz w:val="22"/>
        </w:rPr>
        <w:t>Sites open to the public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hours and days the site is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categories of waste which will be accepted for disposal or, as an alternative, identifies the categories of waste which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Telephone number of official responsible for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102.13(8)</w:t>
      </w:r>
      <w:r>
        <w:rPr>
          <w:rFonts w:ascii="Times New Roman" w:hAnsi="Times New Roman"/>
          <w:b w:val="false"/>
          <w:i w:val="false"/>
          <w:color w:val="000000"/>
          <w:sz w:val="22"/>
        </w:rPr>
        <w:t> </w:t>
      </w:r>
      <w:r>
        <w:rPr>
          <w:rFonts w:ascii="Times New Roman" w:hAnsi="Times New Roman"/>
          <w:b w:val="false"/>
          <w:i w:val="false"/>
          <w:color w:val="000000"/>
          <w:sz w:val="22"/>
        </w:rPr>
        <w:t>Free liquids or waste containing free liquids. No free liquids or waste containing free liquids shall be disposed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102.13(9)</w:t>
      </w:r>
      <w:r>
        <w:rPr>
          <w:rFonts w:ascii="Times New Roman" w:hAnsi="Times New Roman"/>
          <w:b w:val="false"/>
          <w:i w:val="false"/>
          <w:color w:val="000000"/>
          <w:sz w:val="22"/>
        </w:rPr>
        <w:t> </w:t>
      </w:r>
      <w:r>
        <w:rPr>
          <w:rFonts w:ascii="Times New Roman" w:hAnsi="Times New Roman"/>
          <w:b w:val="false"/>
          <w:i w:val="false"/>
          <w:color w:val="000000"/>
          <w:sz w:val="22"/>
        </w:rPr>
        <w:t>General 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notify the department in writing at least 180 days prior to closure of the facility or suspension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closure shall be posted at least 180 days prior to closure at the facility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closure/postclosure plan shall be completed within 90 days of the closure of the facility. The owner and an engineer registered in Iowa shall certify that the closure/postclosure plan has been implemented in compliance with the rules, the closure/postclosure plan and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as-built plans shall be submitted showing changes from the original design plans, test results indicating compliance with final cover as applicable, waste removal, equipment decontamination, and other forms of documentation as required, to include a copy of the notation filed with the county recorder.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567—102.14</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 </w:t>
      </w:r>
      <w:hyperlink r:id="rId28">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the criteria for developing a detailed emergency response and remedial action plan (ERRAP) for permitted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apply to the owners or operators of all sanitary disposal projects that are permitted under </w:t>
      </w:r>
      <w:hyperlink r:id="rId29">
        <w:r>
          <w:rPr>
            <w:rStyle w:val="Hyperlink"/>
            <w:rFonts w:ascii="Times New Roman" w:hAnsi="Times New Roman"/>
            <w:b w:val="false"/>
            <w:i w:val="false"/>
            <w:color w:val="000000"/>
            <w:sz w:val="22"/>
          </w:rPr>
          <w:t>567—102.2</w:t>
        </w:r>
      </w:hyperlink>
      <w:r>
        <w:rPr>
          <w:rFonts w:ascii="Times New Roman" w:hAnsi="Times New Roman"/>
          <w:b w:val="false"/>
          <w:i w:val="false"/>
          <w:color w:val="000000"/>
          <w:sz w:val="22"/>
        </w:rPr>
        <w:t>(455B). Permitted project types include: municipal and industrial waste landfills; construction and demolition waste landfills; coal combustion residue landfills; waste storage facilities; waste processing facilities; recycling and material recovery facilities; transfer stations; composting facilities; incinerator facilities; regional collection centers; land application facilities; and any facility deemed necessary to have a project permit under sanitary disposal project definition. Centralized regional collection center ERRAP documents shall specifically address the ERRAP requirements for each of the regional collection center’s satellite facilities. This rule is not applicable to waste tire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facilities that are subject to this rule and have been permitted prior to October 24, 2001, shall submit a complete detailed ERRAP that meets the requirements set forth in this rule no later than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new permit after October 24, 2001, shall incorporate a complete detailed ERRAP that meets the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updated ERRAP that meets the requirements of this rule shall be submitted at the time of each permit renewal or permit reissuance application that is due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included with any request for permit modification to incorporate a facility expansion or significant changes in facility operation that require modification of the currently approved ERRAP</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submitted an ERRAP meeting the requirements defined under Iowa Code section </w:t>
      </w:r>
      <w:hyperlink r:id="rId30">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May 1, 2001, including regional collection centers that, prior to this date, have met the contingency plan submittal requirement described in </w:t>
      </w:r>
      <w:hyperlink r:id="rId31">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and were approved by the department prior to October 24, 2001, are not required to submit an updated ERRAP that meets the requirements of this rule until the next permit renewal application due date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Three sets of ERRAP documents shall be submitted for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emergency response and remedial action plan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conditions—response activities—remedial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Short-term (48 hours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Long-term (over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Tornado.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Windstorms.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Intense rainstorms and erosion.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Lightning strikes.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Flooding.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Event and postevent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Buildings and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Working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waste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Leachate.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stockpiles and storage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 transport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Litter and airborne particulates.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Hazardous material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Load check control points.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Mixed waste deliveries.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Earthquakes.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Slope failure.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shifts.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and release notifications and reporting.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and city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Primary emergency equipment inventory.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completion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Reference tables, figures and maps.</w:t>
      </w:r>
    </w:p>
    <w:p>
      <w:pPr>
        <w:spacing w:before="0" w:after="0"/>
        <w:ind w:left="120"/>
        <w:jc w:val="both"/>
      </w:pPr>
      <w:r>
        <w:rPr>
          <w:rFonts w:ascii="Times New Roman" w:hAnsi="Times New Roman"/>
          <w:b/>
          <w:i w:val="false"/>
          <w:color w:val="000000"/>
          <w:sz w:val="22"/>
        </w:rPr>
        <w:t>567—102.15</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incinerator operator certification. </w:t>
      </w:r>
      <w:r>
        <w:rPr>
          <w:rFonts w:ascii="Times New Roman" w:hAnsi="Times New Roman"/>
          <w:b w:val="false"/>
          <w:i w:val="false"/>
          <w:color w:val="000000"/>
          <w:sz w:val="22"/>
        </w:rPr>
        <w:t>Solid waste incinerator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w:t>
      </w:r>
      <w:r>
        <w:rPr>
          <w:rFonts w:ascii="Times New Roman" w:hAnsi="Times New Roman"/>
          <w:b w:val="false"/>
          <w:i w:val="false"/>
          <w:color w:val="000000"/>
          <w:sz w:val="22"/>
        </w:rPr>
        <w:t> </w:t>
      </w:r>
      <w:r>
        <w:rPr>
          <w:rFonts w:ascii="Times New Roman" w:hAnsi="Times New Roman"/>
          <w:b w:val="false"/>
          <w:i w:val="false"/>
          <w:color w:val="000000"/>
          <w:sz w:val="22"/>
        </w:rPr>
        <w:t>A solid waste incinerator operator shall be on duty during all hours of operation of a solid waste incinerator,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102.15(2)</w:t>
      </w:r>
      <w:r>
        <w:rPr>
          <w:rFonts w:ascii="Times New Roman" w:hAnsi="Times New Roman"/>
          <w:b w:val="false"/>
          <w:i w:val="false"/>
          <w:color w:val="000000"/>
          <w:sz w:val="22"/>
        </w:rPr>
        <w:t> </w:t>
      </w:r>
      <w:r>
        <w:rPr>
          <w:rFonts w:ascii="Times New Roman" w:hAnsi="Times New Roman"/>
          <w:b w:val="false"/>
          <w:i w:val="false"/>
          <w:color w:val="000000"/>
          <w:sz w:val="22"/>
        </w:rPr>
        <w:t>To become a certified operator, an individual shall complete a basic operator training course that has been approved by the department or alternative, equivalent training approved by the department and shall pass a departmental examination as specified by this rule.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102.15(3)</w:t>
      </w:r>
      <w:r>
        <w:rPr>
          <w:rFonts w:ascii="Times New Roman" w:hAnsi="Times New Roman"/>
          <w:b w:val="false"/>
          <w:i w:val="false"/>
          <w:color w:val="000000"/>
          <w:sz w:val="22"/>
        </w:rPr>
        <w:t> </w:t>
      </w:r>
      <w:r>
        <w:rPr>
          <w:rFonts w:ascii="Times New Roman" w:hAnsi="Times New Roman"/>
          <w:b w:val="false"/>
          <w:i w:val="false"/>
          <w:color w:val="000000"/>
          <w:sz w:val="22"/>
        </w:rPr>
        <w:t>A solid waste incinerator operator certification is valid from the date of issuance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102.15(4)</w:t>
      </w:r>
      <w:r>
        <w:rPr>
          <w:rFonts w:ascii="Times New Roman" w:hAnsi="Times New Roman"/>
          <w:b w:val="false"/>
          <w:i w:val="false"/>
          <w:color w:val="000000"/>
          <w:sz w:val="22"/>
        </w:rPr>
        <w:t> </w:t>
      </w:r>
      <w:r>
        <w:rPr>
          <w:rFonts w:ascii="Times New Roman" w:hAnsi="Times New Roman"/>
          <w:b w:val="false"/>
          <w:i w:val="false"/>
          <w:color w:val="000000"/>
          <w:sz w:val="22"/>
        </w:rPr>
        <w:t>Basic operator training course. The required basic operator training course for a certified solid waste incinerator operator shall have at least 12 contact hours and shall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Incinerator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Incinerator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Environmental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Incinerator maintenance;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Ash and residue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102.15(5)</w:t>
      </w:r>
      <w:r>
        <w:rPr>
          <w:rFonts w:ascii="Times New Roman" w:hAnsi="Times New Roman"/>
          <w:b w:val="false"/>
          <w:i w:val="false"/>
          <w:color w:val="000000"/>
          <w:sz w:val="22"/>
        </w:rPr>
        <w:t> </w:t>
      </w:r>
      <w:r>
        <w:rPr>
          <w:rFonts w:ascii="Times New Roman" w:hAnsi="Times New Roman"/>
          <w:b w:val="false"/>
          <w:i w:val="false"/>
          <w:color w:val="000000"/>
          <w:sz w:val="22"/>
        </w:rPr>
        <w:t>Alternative basic operator training must be approved by the department. It shall be the applicant’s responsibility to submit any documentation the department may require to evaluate the equivalency of alternative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102.15(6)</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fee for each examination is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is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is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102.15(7)</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certification examinations will be based on the basic operator training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persons wishing to take the examination required to become a certified operator of a solid waste incinerator shall complete the Operator Certification Examination Application, Form 542-1354.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Department of Natural Resources, 502 East 9th Street, Des Moines, Iowa 50319. Application for examination must be received by the department at least 30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shall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before taking a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Completed examinations will be retained by the department for a period of one year, after which they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102.15(8)</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who passed the operator certification examination by July 1, 1991, are exempt from taking the required operator training course. Beginning July 1, 1991, all operators will be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provided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other state mandatory certification programs, the equivalency of which has been previously reviewed and accepted by the department, certification without examination will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other states, certification will be considered. The applicant must have successfully completed a basic operator training course and an examination generally equivalent to the Iowa examination. The department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33">
        <w:r>
          <w:rPr>
            <w:rStyle w:val="Hyperlink"/>
            <w:rFonts w:ascii="Times New Roman" w:hAnsi="Times New Roman"/>
            <w:b w:val="false"/>
            <w:i w:val="false"/>
            <w:color w:val="000000"/>
            <w:sz w:val="22"/>
          </w:rPr>
          <w:t>paragraph 102.15(8)</w:t>
        </w:r>
        <w:r>
          <w:rPr>
            <w:rFonts w:ascii="Times New Roman" w:hAnsi="Times New Roman"/>
            <w:b w:val="false"/>
            <w:i/>
            <w:color w:val="000000"/>
            <w:sz w:val="22"/>
          </w:rPr>
          <w:t>“d”</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102.15(8)</w:t>
        </w:r>
        <w:r>
          <w:rPr>
            <w:rFonts w:ascii="Times New Roman" w:hAnsi="Times New Roman"/>
            <w:b w:val="false"/>
            <w:i/>
            <w:color w:val="000000"/>
            <w:sz w:val="22"/>
          </w:rPr>
          <w:t>“e”</w:t>
        </w:r>
      </w:hyperlink>
      <w:r>
        <w:rPr>
          <w:rFonts w:ascii="Times New Roman" w:hAnsi="Times New Roman"/>
          <w:b w:val="false"/>
          <w:i w:val="false"/>
          <w:color w:val="000000"/>
          <w:sz w:val="22"/>
        </w:rPr>
        <w:t xml:space="preserve"> shall submit an application for examination accompanied by a letter requesting certification pursuant to this subrule. Application for certification pursuant to this subrule shall be received by the department in accordance with paragraphs </w:t>
      </w:r>
      <w:hyperlink r:id="rId35">
        <w:r>
          <w:rPr>
            <w:rStyle w:val="Hyperlink"/>
            <w:rFonts w:ascii="Times New Roman" w:hAnsi="Times New Roman"/>
            <w:b w:val="false"/>
            <w:i w:val="false"/>
            <w:color w:val="000000"/>
            <w:sz w:val="22"/>
          </w:rPr>
          <w:t>102.15(8)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102.15(8)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102.15(9)</w:t>
      </w:r>
      <w:r>
        <w:rPr>
          <w:rFonts w:ascii="Times New Roman" w:hAnsi="Times New Roman"/>
          <w:b w:val="false"/>
          <w:i w:val="false"/>
          <w:color w:val="000000"/>
          <w:sz w:val="22"/>
        </w:rPr>
        <w:t> </w:t>
      </w:r>
      <w:r>
        <w:rPr>
          <w:rFonts w:ascii="Times New Roman" w:hAnsi="Times New Roman"/>
          <w:b w:val="false"/>
          <w:i w:val="false"/>
          <w:color w:val="000000"/>
          <w:sz w:val="22"/>
        </w:rPr>
        <w:t>All certificates shall expire every two years, on even-numbered years, and must be renewed every two years to maintain certification. The renewal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certificate may be made provided that such late application shall be received by the department or postmarked within 30 days of the expiration of the certificate. Such late application shall be on forms provided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37">
        <w:r>
          <w:rPr>
            <w:rStyle w:val="Hyperlink"/>
            <w:rFonts w:ascii="Times New Roman" w:hAnsi="Times New Roman"/>
            <w:b w:val="false"/>
            <w:i w:val="false"/>
            <w:color w:val="000000"/>
            <w:sz w:val="22"/>
          </w:rPr>
          <w:t>subrule 102.15(8)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shall not continue to operate a solid waste incinerator after expiration of a certificate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credits must be earned during the two-year certification period. All certified operators must earn ten contact hours per certificate during each two-year period. The two-year period will begin upon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60 days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rule during periods that the operator serves honorably on active duty in the military service; or during periods that the operator is a resident of another state or district having a continuing education requirement for operators and meets all the requirements of that state or district for practice there; or during periods that the person is a government employee working as an operator and is assigned to duty outside of the United States; or during other periods of active practice and absence from the state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102.15(10)</w:t>
      </w:r>
      <w:r>
        <w:rPr>
          <w:rFonts w:ascii="Times New Roman" w:hAnsi="Times New Roman"/>
          <w:b w:val="false"/>
          <w:i w:val="false"/>
          <w:color w:val="000000"/>
          <w:sz w:val="22"/>
        </w:rPr>
        <w:t> </w:t>
      </w:r>
      <w:r>
        <w:rPr>
          <w:rFonts w:ascii="Times New Roman" w:hAnsi="Times New Roman"/>
          <w:b w:val="false"/>
          <w:i w:val="false"/>
          <w:color w:val="000000"/>
          <w:sz w:val="22"/>
        </w:rPr>
        <w:t>Discipline of certified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incinerator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initiate disciplinary action. The commission may direct that the department investigate any alleged factual situation that may be grounds for disciplinary action under </w:t>
      </w:r>
      <w:hyperlink r:id="rId38">
        <w:r>
          <w:rPr>
            <w:rStyle w:val="Hyperlink"/>
            <w:rFonts w:ascii="Times New Roman" w:hAnsi="Times New Roman"/>
            <w:b w:val="false"/>
            <w:i w:val="false"/>
            <w:color w:val="000000"/>
            <w:sz w:val="22"/>
          </w:rPr>
          <w:t>paragraph 102.15(10)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verbally, in writing, or in person with the department, and efforts shall be made to clarify the respective positions of the operator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positions relevant to the matter by the required date may be considered when appropriate disciplinary action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department may initiate formal hearing procedures. Notice and formal hearing shall be in accordance with </w:t>
      </w:r>
      <w:hyperlink r:id="rId39">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related to contested and certain other cases pertaining to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102.15(11)</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operator of a solid waste incinerator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40">
        <w:r>
          <w:rPr>
            <w:rStyle w:val="Hyperlink"/>
            <w:rFonts w:ascii="Times New Roman" w:hAnsi="Times New Roman"/>
            <w:b w:val="false"/>
            <w:i w:val="false"/>
            <w:color w:val="000000"/>
            <w:sz w:val="22"/>
          </w:rPr>
          <w:t>subrule 102.15(10)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455B.304(12)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567—102.16</w:t>
      </w:r>
      <w:r>
        <w:rPr>
          <w:rFonts w:ascii="Times New Roman" w:hAnsi="Times New Roman"/>
          <w:b/>
          <w:i w:val="false"/>
          <w:color w:val="000000"/>
          <w:sz w:val="22"/>
        </w:rPr>
        <w:t xml:space="preserve">(455B) </w:t>
      </w:r>
      <w:r>
        <w:rPr>
          <w:rFonts w:ascii="Times New Roman" w:hAnsi="Times New Roman"/>
          <w:b/>
          <w:i w:val="false"/>
          <w:color w:val="000000"/>
          <w:sz w:val="22"/>
        </w:rPr>
        <w:t xml:space="preserve">Disruption and excavation of sanitary landfills or closed dumps. </w:t>
      </w:r>
      <w:r>
        <w:rPr>
          <w:rFonts w:ascii="Times New Roman" w:hAnsi="Times New Roman"/>
          <w:b w:val="false"/>
          <w:i w:val="false"/>
          <w:color w:val="000000"/>
          <w:sz w:val="22"/>
        </w:rPr>
        <w:t>No person shall excavate, disrupt, or remove any deposited material from any active or discontinued sanitary landfill or closed dump without first having notified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102.16(1)</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an operational plan stating the area involved, lines and grades defining limits of excavation, estimated number of cubic yards of material to be excavated, sanitary disposal project where material is to be disposed, and estimated time required for excavation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102.16(2)</w:t>
      </w:r>
      <w:r>
        <w:rPr>
          <w:rFonts w:ascii="Times New Roman" w:hAnsi="Times New Roman"/>
          <w:b w:val="false"/>
          <w:i w:val="false"/>
          <w:color w:val="000000"/>
          <w:sz w:val="22"/>
        </w:rPr>
        <w:t> </w:t>
      </w:r>
      <w:r>
        <w:rPr>
          <w:rFonts w:ascii="Times New Roman" w:hAnsi="Times New Roman"/>
          <w:b w:val="false"/>
          <w:i w:val="false"/>
          <w:color w:val="000000"/>
          <w:sz w:val="22"/>
        </w:rPr>
        <w:t>An excavation shall be confined to an area consistent with the number of pieces of digging equipment and trucks used for haulage.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disposal of all solid waste resulting from excavation shall be in conformity with Iowa Code chapter </w:t>
      </w:r>
      <w:hyperlink r:id="rId4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applicable solid or hazardous waste regulations.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4">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8/31/78 after Notice 4/19/78—published 9/20/78, effective 8/31/78]</w:t>
      </w:r>
    </w:p>
    <w:p>
      <w:pPr>
        <w:spacing w:before="0" w:after="0"/>
        <w:ind w:left="120"/>
        <w:jc w:val="center"/>
      </w:pPr>
      <w:r>
        <w:rPr>
          <w:rFonts w:ascii="Times New Roman" w:hAnsi="Times New Roman"/>
          <w:b w:val="false"/>
          <w:i w:val="false"/>
          <w:color w:val="000000"/>
          <w:sz w:val="21"/>
        </w:rPr>
        <w:t>[Filed 9/28/79, Notice 5/30/79—published 10/17/79, effective 11/21/79]</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7/19/90, Notice 5/16/90—published 8/8/90, effective 9/12/90]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emergency 5/24/91 after Notice 3/20/91—published 6/12/91, effective 5/24/91]</w:t>
      </w:r>
    </w:p>
    <w:p>
      <w:pPr>
        <w:spacing w:before="0" w:after="0"/>
        <w:ind w:left="120"/>
        <w:jc w:val="center"/>
      </w:pPr>
      <w:r>
        <w:rPr>
          <w:rFonts w:ascii="Times New Roman" w:hAnsi="Times New Roman"/>
          <w:b w:val="false"/>
          <w:i w:val="false"/>
          <w:color w:val="000000"/>
          <w:sz w:val="21"/>
        </w:rPr>
        <w:t>[Filed 9/24/93, Notice 4/14/93—published 10/13/93, effective 11/17/93]</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2/21/97, Notice 11/20/96—published 3/12/97, effective 4/16/97]</w:t>
      </w:r>
    </w:p>
    <w:p>
      <w:pPr>
        <w:spacing w:before="0" w:after="0"/>
        <w:ind w:left="120"/>
        <w:jc w:val="center"/>
      </w:pPr>
      <w:r>
        <w:rPr>
          <w:rFonts w:ascii="Times New Roman" w:hAnsi="Times New Roman"/>
          <w:b w:val="false"/>
          <w:i w:val="false"/>
          <w:color w:val="000000"/>
          <w:sz w:val="21"/>
        </w:rPr>
        <w:t>[Filed 8/31/01, Notice 6/13/01—published 9/19/01, effective 10/24/01]</w:t>
      </w:r>
    </w:p>
    <w:p>
      <w:pPr>
        <w:spacing w:before="0" w:after="0"/>
        <w:ind w:left="120"/>
        <w:jc w:val="center"/>
      </w:pPr>
      <w:r>
        <w:rPr>
          <w:rFonts w:ascii="Times New Roman" w:hAnsi="Times New Roman"/>
          <w:b w:val="false"/>
          <w:i w:val="false"/>
          <w:color w:val="000000"/>
          <w:sz w:val="21"/>
        </w:rPr>
        <w:t>[Filed 3/27/02, Notice 12/12/01—published 4/17/02, effective 5/22/02]</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5.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rule/567.102.2.pdf" Type="http://schemas.openxmlformats.org/officeDocument/2006/relationships/hyperlink" Id="rId7"/>
    <Relationship TargetMode="External" Target="https://www.legis.iowa.gov/docs/ico/chapter/455B.307.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co/chapter/455B.305.pdf" Type="http://schemas.openxmlformats.org/officeDocument/2006/relationships/hyperlink" Id="rId11"/>
    <Relationship TargetMode="External" Target="https://www.legis.iowa.gov/docs/iac/chapter/567.7.pdf" Type="http://schemas.openxmlformats.org/officeDocument/2006/relationships/hyperlink" Id="rId12"/>
    <Relationship TargetMode="External" Target="https://www.legis.iowa.gov/docs/ico/chapter/455B.305.pdf" Type="http://schemas.openxmlformats.org/officeDocument/2006/relationships/hyperlink" Id="rId13"/>
    <Relationship TargetMode="External" Target="https://www.legis.iowa.gov/docs/ico/chapter/455B.306.pdf" Type="http://schemas.openxmlformats.org/officeDocument/2006/relationships/hyperlink" Id="rId14"/>
    <Relationship TargetMode="External" Target="https://www.legis.iowa.gov/docs/ico/chapter/455B.pdf" Type="http://schemas.openxmlformats.org/officeDocument/2006/relationships/hyperlink" Id="rId15"/>
    <Relationship TargetMode="External" Target="https://www.legis.iowa.gov/docs/ico/chapter/455B.304.pdf" Type="http://schemas.openxmlformats.org/officeDocument/2006/relationships/hyperlink" Id="rId16"/>
    <Relationship TargetMode="External" Target="https://www.legis.iowa.gov/docs/iac/rule/567.102.2.pdf" Type="http://schemas.openxmlformats.org/officeDocument/2006/relationships/hyperlink" Id="rId17"/>
    <Relationship TargetMode="External" Target="https://www.legis.iowa.gov/docs/ico/chapter/455B.304.pdf" Type="http://schemas.openxmlformats.org/officeDocument/2006/relationships/hyperlink" Id="rId18"/>
    <Relationship TargetMode="External" Target="https://www.legis.iowa.gov/docs/ico/chapter/114.pdf" Type="http://schemas.openxmlformats.org/officeDocument/2006/relationships/hyperlink" Id="rId19"/>
    <Relationship TargetMode="External" Target="https://www.legis.iowa.gov/docs/iac/rule/567.102.6.pdf" Type="http://schemas.openxmlformats.org/officeDocument/2006/relationships/hyperlink" Id="rId20"/>
    <Relationship TargetMode="External" Target="https://www.legis.iowa.gov/docs/ico/chapter/455B.pdf" Type="http://schemas.openxmlformats.org/officeDocument/2006/relationships/hyperlink" Id="rId21"/>
    <Relationship TargetMode="External" Target="https://www.legis.iowa.gov/docs/ico/chapter/455B.pdf" Type="http://schemas.openxmlformats.org/officeDocument/2006/relationships/hyperlink" Id="rId22"/>
    <Relationship TargetMode="External" Target="https://www.legis.iowa.gov/docs/ico/chapter/455B.305.pdf" Type="http://schemas.openxmlformats.org/officeDocument/2006/relationships/hyperlink" Id="rId23"/>
    <Relationship TargetMode="External" Target="https://www.legis.iowa.gov/docs/iac/chapter/567.110.pdf" Type="http://schemas.openxmlformats.org/officeDocument/2006/relationships/hyperlink" Id="rId24"/>
    <Relationship TargetMode="External" Target="https://www.legis.iowa.gov/docs/ico/chapter/455B.305.pdf" Type="http://schemas.openxmlformats.org/officeDocument/2006/relationships/hyperlink" Id="rId25"/>
    <Relationship TargetMode="External" Target="https://www.legis.iowa.gov/docs/iac/chapter/567.23.pdf" Type="http://schemas.openxmlformats.org/officeDocument/2006/relationships/hyperlink" Id="rId26"/>
    <Relationship TargetMode="External" Target="https://www.legis.iowa.gov/docs/ico/chapter/455B.304.pdf" Type="http://schemas.openxmlformats.org/officeDocument/2006/relationships/hyperlink" Id="rId27"/>
    <Relationship TargetMode="External" Target="https://www.legis.iowa.gov/docs/ico/chapter/455B.306.pdf" Type="http://schemas.openxmlformats.org/officeDocument/2006/relationships/hyperlink" Id="rId28"/>
    <Relationship TargetMode="External" Target="https://www.legis.iowa.gov/docs/iac/rule/567.102.2.pdf" Type="http://schemas.openxmlformats.org/officeDocument/2006/relationships/hyperlink" Id="rId29"/>
    <Relationship TargetMode="External" Target="https://www.legis.iowa.gov/docs/ico/chapter/455B.306.pdf" Type="http://schemas.openxmlformats.org/officeDocument/2006/relationships/hyperlink" Id="rId30"/>
    <Relationship TargetMode="External" Target="https://www.legis.iowa.gov/docs/iac/chapter/567.211.pdf" Type="http://schemas.openxmlformats.org/officeDocument/2006/relationships/hyperlink" Id="rId31"/>
    <Relationship TargetMode="External" Target="https://www.legis.iowa.gov/docs/ico/chapter/455B.306.pdf" Type="http://schemas.openxmlformats.org/officeDocument/2006/relationships/hyperlink" Id="rId32"/>
    <Relationship TargetMode="External" Target="https://www.legis.iowa.gov/docs/iac/rule/567.102.15.pdf" Type="http://schemas.openxmlformats.org/officeDocument/2006/relationships/hyperlink" Id="rId33"/>
    <Relationship TargetMode="External" Target="https://www.legis.iowa.gov/docs/iac/rule/567.102.15.pdf" Type="http://schemas.openxmlformats.org/officeDocument/2006/relationships/hyperlink" Id="rId34"/>
    <Relationship TargetMode="External" Target="https://www.legis.iowa.gov/docs/iac/rule/567.102.15.pdf" Type="http://schemas.openxmlformats.org/officeDocument/2006/relationships/hyperlink" Id="rId35"/>
    <Relationship TargetMode="External" Target="https://www.legis.iowa.gov/docs/iac/rule/567.102.15.pdf" Type="http://schemas.openxmlformats.org/officeDocument/2006/relationships/hyperlink" Id="rId36"/>
    <Relationship TargetMode="External" Target="https://www.legis.iowa.gov/docs/iac/rule/567.102.15.pdf" Type="http://schemas.openxmlformats.org/officeDocument/2006/relationships/hyperlink" Id="rId37"/>
    <Relationship TargetMode="External" Target="https://www.legis.iowa.gov/docs/iac/rule/567.102.15.pdf" Type="http://schemas.openxmlformats.org/officeDocument/2006/relationships/hyperlink" Id="rId38"/>
    <Relationship TargetMode="External" Target="https://www.legis.iowa.gov/docs/iac/chapter/561.7.pdf" Type="http://schemas.openxmlformats.org/officeDocument/2006/relationships/hyperlink" Id="rId39"/>
    <Relationship TargetMode="External" Target="https://www.legis.iowa.gov/docs/iac/rule/567.102.15.pdf" Type="http://schemas.openxmlformats.org/officeDocument/2006/relationships/hyperlink" Id="rId40"/>
    <Relationship TargetMode="External" Target="https://www.legis.iowa.gov/docs/ico/chapter/455B.304.pdf" Type="http://schemas.openxmlformats.org/officeDocument/2006/relationships/hyperlink" Id="rId41"/>
    <Relationship TargetMode="External" Target="https://www.legis.iowa.gov/docs/ico/chapter/455B.pdf" Type="http://schemas.openxmlformats.org/officeDocument/2006/relationships/hyperlink" Id="rId42"/>
    <Relationship TargetMode="External" Target="https://www.legis.iowa.gov/docs/ico/chapter/455B.304.pdf" Type="http://schemas.openxmlformats.org/officeDocument/2006/relationships/hyperlink" Id="rId43"/>
    <Relationship TargetMode="External" Target="https://www.legis.iowa.gov/docs/ico/chapter/455B.304.pdf" Type="http://schemas.openxmlformats.org/officeDocument/2006/relationships/hyperlink" Id="rId44"/>
    <Relationship TargetMode="External" Target="https://www.legis.iowa.gov/docs/ico/chapter/455B.305.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