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PUBLIC RECORDS AND FAIR</w:t>
      </w:r>
      <w:r>
        <w:br/>
      </w:r>
      <w:r>
        <w:rPr>
          <w:rFonts w:ascii="Times New Roman" w:hAnsi="Times New Roman"/>
          <w:b w:val="false"/>
          <w:i w:val="false"/>
          <w:color w:val="000000"/>
          <w:sz w:val="21"/>
        </w:rPr>
        <w:t>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county finance committee hereby adopts, with the following exceptions and amendments, rules of the Governor’s Task Force on Uniform Rules of Agency Procedure relating to public records and fair information practices which are printed in the first volume of the Iowa Administrative Code.</w:t>
      </w:r>
    </w:p>
    <w:p>
      <w:pPr>
        <w:spacing w:before="0" w:after="0"/>
        <w:ind w:left="120"/>
        <w:jc w:val="both"/>
      </w:pPr>
      <w:r>
        <w:rPr>
          <w:rFonts w:ascii="Times New Roman" w:hAnsi="Times New Roman"/>
          <w:b/>
          <w:i w:val="false"/>
          <w:color w:val="000000"/>
          <w:sz w:val="22"/>
        </w:rPr>
        <w:t>547—9.1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In lieu of the words “(official or body issuing these rules)”, insert “county finance committee”. As used in these rules, unless the context otherwise requires, “committee” means the county finance committee and “director” means the director of the department of management.</w:t>
      </w:r>
    </w:p>
    <w:p>
      <w:pPr>
        <w:spacing w:before="0" w:after="0"/>
        <w:ind w:left="120"/>
        <w:jc w:val="both"/>
      </w:pPr>
      <w:r>
        <w:rPr>
          <w:rFonts w:ascii="Times New Roman" w:hAnsi="Times New Roman"/>
          <w:b/>
          <w:i w:val="false"/>
          <w:color w:val="000000"/>
          <w:sz w:val="22"/>
        </w:rPr>
        <w:t>547—9.3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“county finance committee, department of management”, and in lieu of the words “(insert agency name and address)”, insert “County Finance Committee, Department of Management, State Capitol,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“thirty minutes”.</w:t>
      </w:r>
    </w:p>
    <w:p>
      <w:pPr>
        <w:spacing w:before="0" w:after="0"/>
        <w:ind w:left="120"/>
        <w:jc w:val="both"/>
      </w:pPr>
      <w:r>
        <w:rPr>
          <w:rFonts w:ascii="Times New Roman" w:hAnsi="Times New Roman"/>
          <w:b/>
          <w:i w:val="false"/>
          <w:color w:val="000000"/>
          <w:sz w:val="22"/>
        </w:rPr>
        <w:t>547—9.9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w:t>
      </w:r>
      <w:hyperlink r:id="rId6">
        <w:r>
          <w:rPr>
            <w:rStyle w:val="Hyperlink"/>
            <w:rFonts w:ascii="Times New Roman" w:hAnsi="Times New Roman"/>
            <w:b w:val="false"/>
            <w:i w:val="false"/>
            <w:color w:val="000000"/>
            <w:sz w:val="22"/>
          </w:rPr>
          <w:t>rule 9.10(17A,22)</w:t>
        </w:r>
      </w:hyperlink>
      <w:r>
        <w:rPr>
          <w:rFonts w:ascii="Times New Roman" w:hAnsi="Times New Roman"/>
          <w:b w:val="false"/>
          <w:i w:val="false"/>
          <w:color w:val="000000"/>
          <w:sz w:val="22"/>
        </w:rPr>
        <w:t xml:space="preserve">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committee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7">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547—9.10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members of the committee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committee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committee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547—9.11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To the extent permitted by law, the subject may consent in writing to committee disclosure of confidential records as provided in rule 9.7(17A,22).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547—9.12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val="false"/>
          <w:color w:val="000000"/>
          <w:sz w:val="22"/>
        </w:rPr>
        <w:t>The subject of a confidential record may file a written request to review confidential records about that person as provided in rule 547—6.6(17A,22). However, the committee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committee need not be disclosed directly or indirectly to the subject of the information when the information is authorized to be held confidential pursuant to Iowa Code section </w:t>
      </w:r>
      <w:hyperlink r:id="rId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0">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records, the committee may take reasonable steps to protect confidential information relating to another subject.</w:t>
      </w:r>
    </w:p>
    <w:p>
      <w:pPr>
        <w:spacing w:before="0" w:after="0"/>
        <w:ind w:left="120"/>
        <w:jc w:val="both"/>
      </w:pPr>
      <w:r>
        <w:rPr>
          <w:rFonts w:ascii="Times New Roman" w:hAnsi="Times New Roman"/>
          <w:b/>
          <w:i w:val="false"/>
          <w:color w:val="000000"/>
          <w:sz w:val="22"/>
        </w:rPr>
        <w:t>547—9.13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Committee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county finance committee maintains no records that are considered confidential or that are prohibited from public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committee may have discretion to disclose some confidential records which are exempt from disclosure under Iowa Code section </w:t>
      </w:r>
      <w:hyperlink r:id="rId1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w:t>
      </w:r>
    </w:p>
    <w:p>
      <w:pPr>
        <w:spacing w:before="0" w:after="0"/>
        <w:ind w:left="120"/>
        <w:jc w:val="both"/>
      </w:pPr>
      <w:r>
        <w:rPr>
          <w:rFonts w:ascii="Times New Roman" w:hAnsi="Times New Roman"/>
          <w:b w:val="false"/>
          <w:i w:val="false"/>
          <w:color w:val="000000"/>
          <w:sz w:val="22"/>
        </w:rPr>
        <w:t>Any person may request permission to inspect records withheld from inspection under a statute which authorizes limited or discretionary disclosure as provided in rule 547—6.4(24,26). If the agency initially determines that it will release such records, the agency may, where appropriate, notify interested parties and withhold the records from inspection as provided in subrule 9.4(3).</w:t>
      </w:r>
    </w:p>
    <w:p>
      <w:pPr>
        <w:spacing w:before="210" w:after="0"/>
        <w:ind w:left="120"/>
        <w:jc w:val="both"/>
      </w:pPr>
      <w:r>
        <w:rPr>
          <w:rFonts w:ascii="Times New Roman" w:hAnsi="Times New Roman"/>
          <w:b/>
          <w:i w:val="false"/>
          <w:color w:val="000000"/>
          <w:sz w:val="22"/>
        </w:rPr>
        <w:t>547—9.14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county finance committee does not maintain any records that could be considered personally identifiable.</w:t>
      </w:r>
    </w:p>
    <w:p>
      <w:pPr>
        <w:spacing w:before="210" w:after="0"/>
        <w:ind w:left="120"/>
        <w:jc w:val="both"/>
      </w:pPr>
      <w:r>
        <w:rPr>
          <w:rFonts w:ascii="Times New Roman" w:hAnsi="Times New Roman"/>
          <w:b/>
          <w:i w:val="false"/>
          <w:color w:val="000000"/>
          <w:sz w:val="22"/>
        </w:rPr>
        <w:t>547—9.15</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 </w:t>
      </w:r>
      <w:r>
        <w:rPr>
          <w:rFonts w:ascii="Times New Roman" w:hAnsi="Times New Roman"/>
          <w:b w:val="false"/>
          <w:i w:val="false"/>
          <w:color w:val="000000"/>
          <w:sz w:val="22"/>
        </w:rPr>
        <w:t>None of the data processing systems used by the agency permit the comparison of personally identifiable information in one record system with personally identifiable information in another record system.</w:t>
      </w:r>
    </w:p>
    <w:p>
      <w:pPr>
        <w:spacing w:before="210" w:after="0"/>
        <w:ind w:left="120"/>
        <w:jc w:val="both"/>
      </w:pPr>
      <w:r>
        <w:rPr>
          <w:rFonts w:ascii="Times New Roman" w:hAnsi="Times New Roman"/>
          <w:b/>
          <w:i w:val="false"/>
          <w:color w:val="000000"/>
          <w:sz w:val="22"/>
        </w:rPr>
        <w:t>547—9.16</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records. </w:t>
      </w:r>
      <w:r>
        <w:rPr>
          <w:rFonts w:ascii="Times New Roman" w:hAnsi="Times New Roman"/>
          <w:b w:val="false"/>
          <w:i w:val="false"/>
          <w:color w:val="000000"/>
          <w:sz w:val="22"/>
        </w:rPr>
        <w:t>The committee maintains a variety of records which do not generally contain information pertaining to named individuals. The committee maintains the following records, not heretofore listed, which do not generally contain personally identifiable or confidential information: minutes from the committee meetings, guidelines for program budgeting and accounting and preparation of capital improvement plans, studies of county revenues and expenditures, and advice and recommendations to the governor, annually.</w:t>
      </w:r>
    </w:p>
    <w:p>
      <w:pPr>
        <w:spacing w:before="0" w:after="0"/>
        <w:ind w:left="120"/>
        <w:jc w:val="both"/>
      </w:pPr>
      <w:r>
        <w:rPr>
          <w:rFonts w:ascii="Times New Roman" w:hAnsi="Times New Roman"/>
          <w:b/>
          <w:i w:val="false"/>
          <w:color w:val="000000"/>
          <w:sz w:val="22"/>
        </w:rPr>
        <w:t>547—9.17</w:t>
      </w:r>
      <w:r>
        <w:rPr>
          <w:rFonts w:ascii="Times New Roman" w:hAnsi="Times New Roman"/>
          <w:b/>
          <w:i w:val="false"/>
          <w:color w:val="000000"/>
          <w:sz w:val="22"/>
        </w:rPr>
        <w:t xml:space="preserve">(17A,22)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committee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committee which are governed by the rules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committee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rules of the committee.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8/19/88 after Notice 6/29/88—published 9/7/88, effective 8/19/88]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rule/547.9.10.pdf" Type="http://schemas.openxmlformats.org/officeDocument/2006/relationships/hyperlink" Id="rId6"/>
    <Relationship TargetMode="External" Target="https://www.legis.iowa.gov/docs/ico/chapter/2A.3.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22.11.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