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PETITIONS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County Finance Committee incorporates the petitions for rule making segments of the Uniform Administrative Rules which are printed in the first volume of the Iowa Administrative Code, with the following amendments.</w:t>
      </w:r>
    </w:p>
    <w:p>
      <w:pPr>
        <w:spacing w:before="0" w:after="0"/>
        <w:ind w:left="120"/>
        <w:jc w:val="both"/>
      </w:pPr>
      <w:r>
        <w:rPr>
          <w:rFonts w:ascii="Times New Roman" w:hAnsi="Times New Roman"/>
          <w:b/>
          <w:i w:val="false"/>
          <w:color w:val="000000"/>
          <w:sz w:val="22"/>
        </w:rPr>
        <w:t>547—6.1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In lieu of the words “designate office”, insert “Room 12, State Capitol, Des Moines, Iowa 50319.” In lieu of the words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BEFORE THE COUNTY FINANCE COMMITTEE</w:t>
      </w:r>
    </w:p>
    <w:p>
      <w:pPr>
        <w:spacing w:before="210" w:after="0"/>
        <w:ind w:left="120"/>
        <w:jc w:val="both"/>
      </w:pPr>
      <w:r>
        <w:rPr>
          <w:rFonts w:ascii="Times New Roman" w:hAnsi="Times New Roman"/>
          <w:b/>
          <w:i w:val="false"/>
          <w:color w:val="000000"/>
          <w:sz w:val="22"/>
        </w:rPr>
        <w:t>547—6.3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“County Finance Committee, Room 12, State Capitol, Des Moines, Iowa 50319.”</w:t>
      </w:r>
    </w:p>
    <w:p>
      <w:pPr>
        <w:spacing w:before="0" w:after="0"/>
        <w:ind w:left="120"/>
        <w:jc w:val="center"/>
      </w:pPr>
      <w:r>
        <w:rPr>
          <w:rFonts w:ascii="Times New Roman" w:hAnsi="Times New Roman"/>
          <w:b w:val="false"/>
          <w:i w:val="false"/>
          <w:color w:val="000000"/>
          <w:sz w:val="21"/>
        </w:rPr>
        <w:t>[Filed emergency 4/15/88—published 5/4/88, effective 4/15/88]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